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902" w:rsidRPr="00A7372C" w:rsidRDefault="009015E1" w:rsidP="00783902">
      <w:pPr>
        <w:rPr>
          <w:rFonts w:ascii="Arial" w:hAnsi="Arial" w:cs="Arial"/>
          <w:sz w:val="28"/>
          <w:szCs w:val="28"/>
        </w:rPr>
      </w:pPr>
      <w:r w:rsidRPr="00A7372C">
        <w:rPr>
          <w:rFonts w:ascii="Arial" w:hAnsi="Arial" w:cs="Arial"/>
          <w:sz w:val="28"/>
          <w:szCs w:val="28"/>
        </w:rPr>
        <w:t>Statistical bulletin:</w:t>
      </w:r>
    </w:p>
    <w:p w:rsidR="00783902" w:rsidRPr="00FD54A7" w:rsidRDefault="00A7372C" w:rsidP="00783902">
      <w:pPr>
        <w:rPr>
          <w:rFonts w:ascii="Arial" w:hAnsi="Arial" w:cs="Arial"/>
          <w:b/>
          <w:sz w:val="36"/>
          <w:szCs w:val="36"/>
        </w:rPr>
      </w:pPr>
      <w:r w:rsidRPr="00FD54A7">
        <w:rPr>
          <w:rFonts w:ascii="Arial" w:hAnsi="Arial" w:cs="Arial"/>
          <w:b/>
          <w:sz w:val="36"/>
          <w:szCs w:val="36"/>
        </w:rPr>
        <w:t>2016/</w:t>
      </w:r>
      <w:r w:rsidR="00783902" w:rsidRPr="00FD54A7">
        <w:rPr>
          <w:rFonts w:ascii="Arial" w:hAnsi="Arial" w:cs="Arial"/>
          <w:b/>
          <w:sz w:val="36"/>
          <w:szCs w:val="36"/>
        </w:rPr>
        <w:t xml:space="preserve">17 Arts Council of Northern Ireland, Annual Funding Survey Results  </w:t>
      </w:r>
    </w:p>
    <w:p w:rsidR="005D7EB0" w:rsidRPr="005D7EB0" w:rsidRDefault="005D7EB0" w:rsidP="005D7EB0">
      <w:pPr>
        <w:rPr>
          <w:rFonts w:ascii="Arial" w:hAnsi="Arial" w:cs="Arial"/>
          <w:sz w:val="28"/>
          <w:szCs w:val="28"/>
        </w:rPr>
      </w:pPr>
      <w:r w:rsidRPr="005D7EB0">
        <w:rPr>
          <w:rFonts w:ascii="Arial" w:hAnsi="Arial" w:cs="Arial"/>
          <w:sz w:val="28"/>
          <w:szCs w:val="28"/>
        </w:rPr>
        <w:t xml:space="preserve">Part of the Arts Council’s research programme aims to provide data on activity funded through the Annual Funding Programme.  This helps to demonstrate the results of our significant investment in a core group of arts organisations and contributes to increasing the knowledge and understanding of the value of this investment.  </w:t>
      </w:r>
    </w:p>
    <w:p w:rsidR="005D7EB0" w:rsidRPr="005D7EB0" w:rsidRDefault="005D7EB0" w:rsidP="005D7EB0">
      <w:pPr>
        <w:rPr>
          <w:rFonts w:ascii="Arial" w:hAnsi="Arial" w:cs="Arial"/>
          <w:sz w:val="28"/>
          <w:szCs w:val="28"/>
        </w:rPr>
      </w:pPr>
      <w:r w:rsidRPr="005D7EB0">
        <w:rPr>
          <w:rFonts w:ascii="Arial" w:hAnsi="Arial" w:cs="Arial"/>
          <w:sz w:val="28"/>
          <w:szCs w:val="28"/>
        </w:rPr>
        <w:t>The</w:t>
      </w:r>
      <w:r>
        <w:rPr>
          <w:rFonts w:ascii="Arial" w:hAnsi="Arial" w:cs="Arial"/>
          <w:sz w:val="28"/>
          <w:szCs w:val="28"/>
        </w:rPr>
        <w:t>se</w:t>
      </w:r>
      <w:r w:rsidRPr="005D7EB0">
        <w:rPr>
          <w:rFonts w:ascii="Arial" w:hAnsi="Arial" w:cs="Arial"/>
          <w:sz w:val="28"/>
          <w:szCs w:val="28"/>
        </w:rPr>
        <w:t xml:space="preserve"> statistics detail findings from the 2016/17 Annual Funding Survey which was completed by 107 a</w:t>
      </w:r>
      <w:r w:rsidR="002B0CAC">
        <w:rPr>
          <w:rFonts w:ascii="Arial" w:hAnsi="Arial" w:cs="Arial"/>
          <w:sz w:val="28"/>
          <w:szCs w:val="28"/>
        </w:rPr>
        <w:t xml:space="preserve">rts organisations.  These organisations received £13.92m </w:t>
      </w:r>
      <w:r w:rsidRPr="005D7EB0">
        <w:rPr>
          <w:rFonts w:ascii="Arial" w:hAnsi="Arial" w:cs="Arial"/>
          <w:sz w:val="28"/>
          <w:szCs w:val="28"/>
        </w:rPr>
        <w:t xml:space="preserve">under its Annual Funding Programme. </w:t>
      </w:r>
    </w:p>
    <w:p w:rsidR="005D7EB0" w:rsidRDefault="005D7EB0" w:rsidP="005D7EB0">
      <w:pPr>
        <w:rPr>
          <w:rFonts w:ascii="Arial" w:hAnsi="Arial" w:cs="Arial"/>
          <w:sz w:val="28"/>
          <w:szCs w:val="28"/>
        </w:rPr>
      </w:pPr>
      <w:r w:rsidRPr="005D7EB0">
        <w:rPr>
          <w:rFonts w:ascii="Arial" w:hAnsi="Arial" w:cs="Arial"/>
          <w:sz w:val="28"/>
          <w:szCs w:val="28"/>
        </w:rPr>
        <w:t xml:space="preserve">As with last year, the </w:t>
      </w:r>
      <w:r w:rsidR="002B0CAC">
        <w:rPr>
          <w:rFonts w:ascii="Arial" w:hAnsi="Arial" w:cs="Arial"/>
          <w:sz w:val="28"/>
          <w:szCs w:val="28"/>
        </w:rPr>
        <w:t xml:space="preserve">data is presented in the form of </w:t>
      </w:r>
      <w:r w:rsidRPr="005D7EB0">
        <w:rPr>
          <w:rFonts w:ascii="Arial" w:hAnsi="Arial" w:cs="Arial"/>
          <w:sz w:val="28"/>
          <w:szCs w:val="28"/>
        </w:rPr>
        <w:t xml:space="preserve">an </w:t>
      </w:r>
      <w:hyperlink r:id="rId9" w:history="1">
        <w:r w:rsidRPr="00AD2ADA">
          <w:rPr>
            <w:rStyle w:val="Hyperlink"/>
            <w:rFonts w:ascii="Arial" w:hAnsi="Arial" w:cs="Arial"/>
            <w:b/>
            <w:sz w:val="28"/>
            <w:szCs w:val="28"/>
          </w:rPr>
          <w:t>interactive dashboard</w:t>
        </w:r>
      </w:hyperlink>
      <w:r w:rsidR="00AD2ADA" w:rsidRPr="00AD2ADA">
        <w:rPr>
          <w:rFonts w:ascii="Arial" w:hAnsi="Arial" w:cs="Arial"/>
          <w:sz w:val="28"/>
          <w:szCs w:val="28"/>
        </w:rPr>
        <w:t xml:space="preserve"> </w:t>
      </w:r>
      <w:r w:rsidRPr="005D7EB0">
        <w:rPr>
          <w:rFonts w:ascii="Arial" w:hAnsi="Arial" w:cs="Arial"/>
          <w:sz w:val="28"/>
          <w:szCs w:val="28"/>
        </w:rPr>
        <w:t>to make it easier to analyse. Each of the four excel spreadsheets can be interrogated by selecting the desired crite</w:t>
      </w:r>
      <w:bookmarkStart w:id="0" w:name="_GoBack"/>
      <w:bookmarkEnd w:id="0"/>
      <w:r w:rsidRPr="005D7EB0">
        <w:rPr>
          <w:rFonts w:ascii="Arial" w:hAnsi="Arial" w:cs="Arial"/>
          <w:sz w:val="28"/>
          <w:szCs w:val="28"/>
        </w:rPr>
        <w:t xml:space="preserve">ria in the drop-down box at the top of the page.  </w:t>
      </w:r>
    </w:p>
    <w:p w:rsidR="002B0CAC" w:rsidRDefault="002B0CAC" w:rsidP="005D7EB0">
      <w:pPr>
        <w:rPr>
          <w:rFonts w:ascii="Arial" w:hAnsi="Arial" w:cs="Arial"/>
          <w:b/>
          <w:sz w:val="28"/>
          <w:szCs w:val="28"/>
        </w:rPr>
      </w:pPr>
    </w:p>
    <w:p w:rsidR="00164571" w:rsidRPr="002B0CAC" w:rsidRDefault="002B0CAC" w:rsidP="005D7EB0">
      <w:pPr>
        <w:rPr>
          <w:rFonts w:ascii="Arial" w:hAnsi="Arial" w:cs="Arial"/>
          <w:b/>
          <w:sz w:val="28"/>
          <w:szCs w:val="28"/>
        </w:rPr>
      </w:pPr>
      <w:r>
        <w:rPr>
          <w:rFonts w:ascii="Arial" w:hAnsi="Arial" w:cs="Arial"/>
          <w:b/>
          <w:sz w:val="28"/>
          <w:szCs w:val="28"/>
        </w:rPr>
        <w:t>Some K</w:t>
      </w:r>
      <w:r w:rsidR="00164571" w:rsidRPr="002B0CAC">
        <w:rPr>
          <w:rFonts w:ascii="Arial" w:hAnsi="Arial" w:cs="Arial"/>
          <w:b/>
          <w:sz w:val="28"/>
          <w:szCs w:val="28"/>
        </w:rPr>
        <w:t>ey Findings</w:t>
      </w:r>
    </w:p>
    <w:p w:rsidR="004C46A8" w:rsidRDefault="00B13575" w:rsidP="00B13575">
      <w:pPr>
        <w:pStyle w:val="ListParagraph"/>
        <w:numPr>
          <w:ilvl w:val="0"/>
          <w:numId w:val="1"/>
        </w:numPr>
        <w:rPr>
          <w:rFonts w:ascii="Arial" w:hAnsi="Arial" w:cs="Arial"/>
          <w:sz w:val="28"/>
          <w:szCs w:val="28"/>
        </w:rPr>
      </w:pPr>
      <w:bookmarkStart w:id="1" w:name="_Toc496087482"/>
      <w:r>
        <w:rPr>
          <w:rFonts w:ascii="Arial" w:hAnsi="Arial" w:cs="Arial"/>
          <w:sz w:val="28"/>
          <w:szCs w:val="28"/>
        </w:rPr>
        <w:t>The proportion of artists employed on a contract or freelance basis rose by 5% between 2016/17 and 2017/18 reflecting a shift in employment patterns to more short-term / temporary arrangements.  Whilst this can offer greater flexibility, it often doesn’t provide the security a permanent, full-time position would and reflects the need for arts organisations to</w:t>
      </w:r>
      <w:r w:rsidR="002B0CAC">
        <w:rPr>
          <w:rFonts w:ascii="Arial" w:hAnsi="Arial" w:cs="Arial"/>
          <w:sz w:val="28"/>
          <w:szCs w:val="28"/>
        </w:rPr>
        <w:t xml:space="preserve"> keep labour costs to a minimum as funding income falls.</w:t>
      </w:r>
    </w:p>
    <w:p w:rsidR="00164571" w:rsidRDefault="00164571" w:rsidP="00164571">
      <w:pPr>
        <w:pStyle w:val="ListParagraph"/>
        <w:rPr>
          <w:rFonts w:ascii="Arial" w:hAnsi="Arial" w:cs="Arial"/>
          <w:sz w:val="28"/>
          <w:szCs w:val="28"/>
        </w:rPr>
      </w:pPr>
    </w:p>
    <w:p w:rsidR="004C46A8" w:rsidRDefault="00164571" w:rsidP="009D68BA">
      <w:pPr>
        <w:pStyle w:val="ListParagraph"/>
        <w:numPr>
          <w:ilvl w:val="0"/>
          <w:numId w:val="1"/>
        </w:numPr>
        <w:rPr>
          <w:rFonts w:ascii="Arial" w:hAnsi="Arial" w:cs="Arial"/>
          <w:sz w:val="28"/>
          <w:szCs w:val="28"/>
        </w:rPr>
      </w:pPr>
      <w:r>
        <w:rPr>
          <w:rFonts w:ascii="Arial" w:hAnsi="Arial" w:cs="Arial"/>
          <w:sz w:val="28"/>
          <w:szCs w:val="28"/>
        </w:rPr>
        <w:t xml:space="preserve">Small arts organisations (those with a total income of less than £200k) drew a far lower proportion of their total income from earned sources and were more dependent on regular funding from ACNI than the overall portfolio.  </w:t>
      </w:r>
    </w:p>
    <w:p w:rsidR="009D68BA" w:rsidRDefault="009D68BA" w:rsidP="009D68BA">
      <w:pPr>
        <w:pStyle w:val="ListParagraph"/>
        <w:rPr>
          <w:rFonts w:ascii="Arial" w:hAnsi="Arial" w:cs="Arial"/>
          <w:sz w:val="28"/>
          <w:szCs w:val="28"/>
        </w:rPr>
      </w:pPr>
    </w:p>
    <w:p w:rsidR="00613977" w:rsidRDefault="004C46A8" w:rsidP="00A7372C">
      <w:pPr>
        <w:pStyle w:val="ListParagraph"/>
        <w:numPr>
          <w:ilvl w:val="0"/>
          <w:numId w:val="1"/>
        </w:numPr>
        <w:rPr>
          <w:rFonts w:ascii="Arial" w:hAnsi="Arial" w:cs="Arial"/>
          <w:sz w:val="28"/>
          <w:szCs w:val="28"/>
        </w:rPr>
      </w:pPr>
      <w:r w:rsidRPr="00613977">
        <w:rPr>
          <w:rFonts w:ascii="Arial" w:hAnsi="Arial" w:cs="Arial"/>
          <w:sz w:val="28"/>
          <w:szCs w:val="28"/>
        </w:rPr>
        <w:t>O</w:t>
      </w:r>
      <w:r w:rsidR="00A7372C" w:rsidRPr="00613977">
        <w:rPr>
          <w:rFonts w:ascii="Arial" w:hAnsi="Arial" w:cs="Arial"/>
          <w:sz w:val="28"/>
          <w:szCs w:val="28"/>
        </w:rPr>
        <w:t>ver half of all activities</w:t>
      </w:r>
      <w:r w:rsidRPr="00613977">
        <w:rPr>
          <w:rFonts w:ascii="Arial" w:hAnsi="Arial" w:cs="Arial"/>
          <w:sz w:val="28"/>
          <w:szCs w:val="28"/>
        </w:rPr>
        <w:t xml:space="preserve"> delivered that year</w:t>
      </w:r>
      <w:r w:rsidR="00A7372C" w:rsidRPr="00613977">
        <w:rPr>
          <w:rFonts w:ascii="Arial" w:hAnsi="Arial" w:cs="Arial"/>
          <w:sz w:val="28"/>
          <w:szCs w:val="28"/>
        </w:rPr>
        <w:t xml:space="preserve"> were conducted in the 20% most deprived</w:t>
      </w:r>
      <w:r w:rsidR="00613977">
        <w:rPr>
          <w:rFonts w:ascii="Arial" w:hAnsi="Arial" w:cs="Arial"/>
          <w:sz w:val="28"/>
          <w:szCs w:val="28"/>
        </w:rPr>
        <w:t xml:space="preserve"> Super Output Areas, with 1 in 10 activities taking</w:t>
      </w:r>
      <w:r w:rsidR="00613977" w:rsidRPr="00613977">
        <w:rPr>
          <w:rFonts w:ascii="Arial" w:hAnsi="Arial" w:cs="Arial"/>
          <w:sz w:val="28"/>
          <w:szCs w:val="28"/>
        </w:rPr>
        <w:t xml:space="preserve"> place in rural locations</w:t>
      </w:r>
      <w:r w:rsidR="00613977">
        <w:rPr>
          <w:rFonts w:ascii="Arial" w:hAnsi="Arial" w:cs="Arial"/>
          <w:sz w:val="28"/>
          <w:szCs w:val="28"/>
        </w:rPr>
        <w:t>.</w:t>
      </w:r>
      <w:r w:rsidR="00FF0B7D">
        <w:rPr>
          <w:rFonts w:ascii="Arial" w:hAnsi="Arial" w:cs="Arial"/>
          <w:sz w:val="28"/>
          <w:szCs w:val="28"/>
        </w:rPr>
        <w:t xml:space="preserve">  Small organisations delivered the </w:t>
      </w:r>
      <w:r w:rsidR="00FF0B7D">
        <w:rPr>
          <w:rFonts w:ascii="Arial" w:hAnsi="Arial" w:cs="Arial"/>
          <w:sz w:val="28"/>
          <w:szCs w:val="28"/>
        </w:rPr>
        <w:lastRenderedPageBreak/>
        <w:t xml:space="preserve">largest proportion of work in rural areas (21%), an increase of 8 percentage points compared to the previous year. </w:t>
      </w:r>
    </w:p>
    <w:p w:rsidR="00D305C1" w:rsidRPr="00D305C1" w:rsidRDefault="00D305C1" w:rsidP="00D305C1">
      <w:pPr>
        <w:pStyle w:val="ListParagraph"/>
        <w:rPr>
          <w:rFonts w:ascii="Arial" w:hAnsi="Arial" w:cs="Arial"/>
          <w:sz w:val="28"/>
          <w:szCs w:val="28"/>
        </w:rPr>
      </w:pPr>
    </w:p>
    <w:p w:rsidR="00BB308E" w:rsidRDefault="00BB308E" w:rsidP="003772B7">
      <w:pPr>
        <w:pStyle w:val="ListParagraph"/>
        <w:numPr>
          <w:ilvl w:val="0"/>
          <w:numId w:val="2"/>
        </w:numPr>
        <w:rPr>
          <w:rFonts w:ascii="Arial" w:hAnsi="Arial" w:cs="Arial"/>
          <w:sz w:val="28"/>
          <w:szCs w:val="28"/>
        </w:rPr>
      </w:pPr>
      <w:r>
        <w:rPr>
          <w:rFonts w:ascii="Arial" w:hAnsi="Arial" w:cs="Arial"/>
          <w:sz w:val="28"/>
          <w:szCs w:val="28"/>
        </w:rPr>
        <w:t>The number of relaxed performances staged by funded clients has increased significantly compared to previous years.  This has enabled more disabled people</w:t>
      </w:r>
      <w:r w:rsidR="005C5BA1">
        <w:rPr>
          <w:rFonts w:ascii="Arial" w:hAnsi="Arial" w:cs="Arial"/>
          <w:sz w:val="28"/>
          <w:szCs w:val="28"/>
        </w:rPr>
        <w:t xml:space="preserve"> to</w:t>
      </w:r>
      <w:r>
        <w:rPr>
          <w:rFonts w:ascii="Arial" w:hAnsi="Arial" w:cs="Arial"/>
          <w:sz w:val="28"/>
          <w:szCs w:val="28"/>
        </w:rPr>
        <w:t xml:space="preserve"> access the arts</w:t>
      </w:r>
      <w:r w:rsidR="003318BA">
        <w:rPr>
          <w:rFonts w:ascii="Arial" w:hAnsi="Arial" w:cs="Arial"/>
          <w:sz w:val="28"/>
          <w:szCs w:val="28"/>
        </w:rPr>
        <w:t>, in particular theatre based work,</w:t>
      </w:r>
      <w:r>
        <w:rPr>
          <w:rFonts w:ascii="Arial" w:hAnsi="Arial" w:cs="Arial"/>
          <w:sz w:val="28"/>
          <w:szCs w:val="28"/>
        </w:rPr>
        <w:t xml:space="preserve"> via modified shows performed in </w:t>
      </w:r>
      <w:r w:rsidR="00FD54A7">
        <w:rPr>
          <w:rFonts w:ascii="Arial" w:hAnsi="Arial" w:cs="Arial"/>
          <w:sz w:val="28"/>
          <w:szCs w:val="28"/>
        </w:rPr>
        <w:t>less formal</w:t>
      </w:r>
      <w:r>
        <w:rPr>
          <w:rFonts w:ascii="Arial" w:hAnsi="Arial" w:cs="Arial"/>
          <w:sz w:val="28"/>
          <w:szCs w:val="28"/>
        </w:rPr>
        <w:t xml:space="preserve"> environments. </w:t>
      </w:r>
    </w:p>
    <w:p w:rsidR="006337FC" w:rsidRPr="006337FC" w:rsidRDefault="006337FC" w:rsidP="006337FC">
      <w:pPr>
        <w:pStyle w:val="ListParagraph"/>
        <w:rPr>
          <w:rFonts w:ascii="Arial" w:hAnsi="Arial" w:cs="Arial"/>
          <w:sz w:val="28"/>
          <w:szCs w:val="28"/>
        </w:rPr>
      </w:pPr>
    </w:p>
    <w:p w:rsidR="003318BA" w:rsidRPr="009D68BA" w:rsidRDefault="003318BA" w:rsidP="009D68BA">
      <w:pPr>
        <w:pStyle w:val="ListParagraph"/>
        <w:numPr>
          <w:ilvl w:val="0"/>
          <w:numId w:val="2"/>
        </w:numPr>
        <w:rPr>
          <w:rFonts w:ascii="Arial" w:hAnsi="Arial" w:cs="Arial"/>
          <w:sz w:val="28"/>
          <w:szCs w:val="28"/>
        </w:rPr>
      </w:pPr>
      <w:r w:rsidRPr="009D68BA">
        <w:rPr>
          <w:rFonts w:ascii="Arial" w:hAnsi="Arial" w:cs="Arial"/>
          <w:sz w:val="28"/>
          <w:szCs w:val="28"/>
        </w:rPr>
        <w:t>Participation remains the si</w:t>
      </w:r>
      <w:r w:rsidR="009D68BA">
        <w:rPr>
          <w:rFonts w:ascii="Arial" w:hAnsi="Arial" w:cs="Arial"/>
          <w:sz w:val="28"/>
          <w:szCs w:val="28"/>
        </w:rPr>
        <w:t>ngle largest form of engagement delivered by annually funded organisations, comprising 85% of activity in 2016/17.  This form of activity enables people of all ages</w:t>
      </w:r>
      <w:r w:rsidR="005C5BA1">
        <w:rPr>
          <w:rFonts w:ascii="Arial" w:hAnsi="Arial" w:cs="Arial"/>
          <w:sz w:val="28"/>
          <w:szCs w:val="28"/>
        </w:rPr>
        <w:t xml:space="preserve"> to</w:t>
      </w:r>
      <w:r w:rsidR="009D68BA">
        <w:rPr>
          <w:rFonts w:ascii="Arial" w:hAnsi="Arial" w:cs="Arial"/>
          <w:sz w:val="28"/>
          <w:szCs w:val="28"/>
        </w:rPr>
        <w:t xml:space="preserve"> explore personal creativity</w:t>
      </w:r>
      <w:r w:rsidR="009D68BA" w:rsidRPr="009D68BA">
        <w:rPr>
          <w:rFonts w:ascii="Arial" w:hAnsi="Arial" w:cs="Arial"/>
          <w:sz w:val="28"/>
          <w:szCs w:val="28"/>
        </w:rPr>
        <w:t xml:space="preserve"> and work collabo</w:t>
      </w:r>
      <w:r w:rsidR="009D68BA">
        <w:rPr>
          <w:rFonts w:ascii="Arial" w:hAnsi="Arial" w:cs="Arial"/>
          <w:sz w:val="28"/>
          <w:szCs w:val="28"/>
        </w:rPr>
        <w:t>ratively with other individuals contributing positively towards</w:t>
      </w:r>
      <w:r w:rsidR="002B0CAC">
        <w:rPr>
          <w:rFonts w:ascii="Arial" w:hAnsi="Arial" w:cs="Arial"/>
          <w:sz w:val="28"/>
          <w:szCs w:val="28"/>
        </w:rPr>
        <w:t xml:space="preserve"> broader societal objectives relating to</w:t>
      </w:r>
      <w:r w:rsidR="009D68BA">
        <w:rPr>
          <w:rFonts w:ascii="Arial" w:hAnsi="Arial" w:cs="Arial"/>
          <w:sz w:val="28"/>
          <w:szCs w:val="28"/>
        </w:rPr>
        <w:t xml:space="preserve"> </w:t>
      </w:r>
      <w:r w:rsidR="009D68BA" w:rsidRPr="009D68BA">
        <w:rPr>
          <w:rFonts w:ascii="Arial" w:hAnsi="Arial" w:cs="Arial"/>
          <w:sz w:val="28"/>
          <w:szCs w:val="28"/>
        </w:rPr>
        <w:t xml:space="preserve">reconciliation, regeneration and </w:t>
      </w:r>
      <w:r w:rsidR="009D68BA">
        <w:rPr>
          <w:rFonts w:ascii="Arial" w:hAnsi="Arial" w:cs="Arial"/>
          <w:sz w:val="28"/>
          <w:szCs w:val="28"/>
        </w:rPr>
        <w:t xml:space="preserve">social </w:t>
      </w:r>
      <w:r w:rsidR="009D68BA" w:rsidRPr="009D68BA">
        <w:rPr>
          <w:rFonts w:ascii="Arial" w:hAnsi="Arial" w:cs="Arial"/>
          <w:sz w:val="28"/>
          <w:szCs w:val="28"/>
        </w:rPr>
        <w:t>cohesion</w:t>
      </w:r>
      <w:r w:rsidR="009D68BA">
        <w:rPr>
          <w:rFonts w:ascii="Arial" w:hAnsi="Arial" w:cs="Arial"/>
          <w:sz w:val="28"/>
          <w:szCs w:val="28"/>
        </w:rPr>
        <w:t>.</w:t>
      </w:r>
      <w:r w:rsidR="009D68BA" w:rsidRPr="009D68BA">
        <w:rPr>
          <w:rFonts w:ascii="Arial" w:hAnsi="Arial" w:cs="Arial"/>
          <w:sz w:val="28"/>
          <w:szCs w:val="28"/>
        </w:rPr>
        <w:t xml:space="preserve"> </w:t>
      </w:r>
    </w:p>
    <w:p w:rsidR="00656C02" w:rsidRPr="009D68BA" w:rsidRDefault="00656C02" w:rsidP="009D68BA">
      <w:pPr>
        <w:rPr>
          <w:rFonts w:ascii="Arial" w:hAnsi="Arial" w:cs="Arial"/>
          <w:sz w:val="28"/>
          <w:szCs w:val="28"/>
        </w:rPr>
      </w:pPr>
    </w:p>
    <w:p w:rsidR="00656C02" w:rsidRPr="00656C02" w:rsidRDefault="005D7EB0" w:rsidP="00866282">
      <w:pPr>
        <w:rPr>
          <w:rFonts w:ascii="Arial" w:eastAsia="Times New Roman" w:hAnsi="Arial" w:cs="Arial"/>
          <w:b/>
          <w:color w:val="000000"/>
          <w:sz w:val="28"/>
          <w:szCs w:val="28"/>
          <w:lang w:eastAsia="en-GB"/>
        </w:rPr>
      </w:pPr>
      <w:r>
        <w:rPr>
          <w:rFonts w:ascii="Arial" w:eastAsia="Times New Roman" w:hAnsi="Arial" w:cs="Arial"/>
          <w:b/>
          <w:color w:val="000000"/>
          <w:sz w:val="28"/>
          <w:szCs w:val="28"/>
          <w:lang w:eastAsia="en-GB"/>
        </w:rPr>
        <w:t>Background on data</w:t>
      </w:r>
    </w:p>
    <w:p w:rsidR="00866282" w:rsidRPr="00A7372C" w:rsidRDefault="00866282" w:rsidP="00866282">
      <w:pPr>
        <w:rPr>
          <w:rFonts w:ascii="Arial" w:hAnsi="Arial" w:cs="Arial"/>
          <w:sz w:val="28"/>
          <w:szCs w:val="28"/>
        </w:rPr>
      </w:pPr>
      <w:r w:rsidRPr="00A7372C">
        <w:rPr>
          <w:rFonts w:ascii="Arial" w:eastAsia="Times New Roman" w:hAnsi="Arial" w:cs="Arial"/>
          <w:color w:val="000000"/>
          <w:sz w:val="28"/>
          <w:szCs w:val="28"/>
          <w:lang w:eastAsia="en-GB"/>
        </w:rPr>
        <w:t>In a number of instances it has been necessary to exclude extreme responses to ensure trends displayed are an accurate reflection of the portfolio. Referred to as outliers, these figures have been removed as they tend to obscure trends.</w:t>
      </w:r>
    </w:p>
    <w:p w:rsidR="00866282" w:rsidRPr="00A7372C" w:rsidRDefault="00866282" w:rsidP="00866282">
      <w:pPr>
        <w:rPr>
          <w:rFonts w:ascii="Arial" w:eastAsia="Times New Roman" w:hAnsi="Arial" w:cs="Arial"/>
          <w:color w:val="000000"/>
          <w:sz w:val="28"/>
          <w:szCs w:val="28"/>
          <w:lang w:eastAsia="en-GB"/>
        </w:rPr>
      </w:pPr>
      <w:r w:rsidRPr="00A7372C">
        <w:rPr>
          <w:rFonts w:ascii="Arial" w:eastAsia="Times New Roman" w:hAnsi="Arial" w:cs="Arial"/>
          <w:color w:val="000000"/>
          <w:sz w:val="28"/>
          <w:szCs w:val="28"/>
          <w:lang w:eastAsia="en-GB"/>
        </w:rPr>
        <w:t>A variety of methods are used by clients to record audiences and participant level</w:t>
      </w:r>
      <w:r w:rsidR="005C5BA1">
        <w:rPr>
          <w:rFonts w:ascii="Arial" w:eastAsia="Times New Roman" w:hAnsi="Arial" w:cs="Arial"/>
          <w:color w:val="000000"/>
          <w:sz w:val="28"/>
          <w:szCs w:val="28"/>
          <w:lang w:eastAsia="en-GB"/>
        </w:rPr>
        <w:t>s</w:t>
      </w:r>
      <w:r w:rsidRPr="00A7372C">
        <w:rPr>
          <w:rFonts w:ascii="Arial" w:eastAsia="Times New Roman" w:hAnsi="Arial" w:cs="Arial"/>
          <w:color w:val="000000"/>
          <w:sz w:val="28"/>
          <w:szCs w:val="28"/>
          <w:lang w:eastAsia="en-GB"/>
        </w:rPr>
        <w:t>, some of which are more reliable than others.  To reduce associated error, organisations are asked to report data as either ‘actual’ or ‘estimated’; depending on the confidence they have in the data.  Both fields are shown in this release.</w:t>
      </w:r>
    </w:p>
    <w:p w:rsidR="00866282" w:rsidRPr="00A7372C" w:rsidRDefault="00866282" w:rsidP="00866282">
      <w:pPr>
        <w:rPr>
          <w:rFonts w:ascii="Arial" w:eastAsia="Times New Roman" w:hAnsi="Arial" w:cs="Arial"/>
          <w:color w:val="000000"/>
          <w:sz w:val="28"/>
          <w:szCs w:val="28"/>
          <w:lang w:eastAsia="en-GB"/>
        </w:rPr>
      </w:pPr>
      <w:r w:rsidRPr="00A7372C">
        <w:rPr>
          <w:rFonts w:ascii="Arial" w:eastAsia="Times New Roman" w:hAnsi="Arial" w:cs="Arial"/>
          <w:color w:val="000000"/>
          <w:sz w:val="28"/>
          <w:szCs w:val="28"/>
          <w:lang w:eastAsia="en-GB"/>
        </w:rPr>
        <w:t xml:space="preserve">It is particularly difficult to estimate attendances at non-ticketed events such as carnivals given the nature of the work delivered.  This release includes data provided by a number of carnival organisations which together make a substantial contribution to total estimated attendances. Subsidy per attendance is calculated using actual and estimated attendances combined. </w:t>
      </w:r>
    </w:p>
    <w:p w:rsidR="00866282" w:rsidRPr="00A7372C" w:rsidRDefault="00866282" w:rsidP="00866282">
      <w:pPr>
        <w:rPr>
          <w:rFonts w:ascii="Arial" w:eastAsia="Times New Roman" w:hAnsi="Arial" w:cs="Arial"/>
          <w:color w:val="000000"/>
          <w:sz w:val="28"/>
          <w:szCs w:val="28"/>
          <w:lang w:eastAsia="en-GB"/>
        </w:rPr>
      </w:pPr>
      <w:r w:rsidRPr="00A7372C">
        <w:rPr>
          <w:rFonts w:ascii="Arial" w:eastAsia="Times New Roman" w:hAnsi="Arial" w:cs="Arial"/>
          <w:color w:val="000000"/>
          <w:sz w:val="28"/>
          <w:szCs w:val="28"/>
          <w:lang w:eastAsia="en-GB"/>
        </w:rPr>
        <w:lastRenderedPageBreak/>
        <w:t>This is the third year this survey has been run, allowing data received to be cross-checked with responses received over the last two previous years.  In a change to the survey, organisations were asked to comment on any unexplained or large year-on-year changes in engagement levels.  This helped to validate the data received.  Any unexplained, large scale variances were checked directly with the organisations concerned.</w:t>
      </w:r>
    </w:p>
    <w:bookmarkEnd w:id="1"/>
    <w:p w:rsidR="0086559B" w:rsidRPr="00A7372C" w:rsidRDefault="0086559B">
      <w:pPr>
        <w:rPr>
          <w:rFonts w:ascii="Arial" w:hAnsi="Arial" w:cs="Arial"/>
          <w:sz w:val="28"/>
          <w:szCs w:val="28"/>
        </w:rPr>
      </w:pPr>
    </w:p>
    <w:p w:rsidR="0086559B" w:rsidRPr="00A7372C" w:rsidRDefault="0086559B">
      <w:pPr>
        <w:rPr>
          <w:rFonts w:ascii="Arial" w:hAnsi="Arial" w:cs="Arial"/>
          <w:sz w:val="28"/>
          <w:szCs w:val="28"/>
        </w:rPr>
      </w:pPr>
    </w:p>
    <w:p w:rsidR="0086559B" w:rsidRPr="00A7372C" w:rsidRDefault="0086559B">
      <w:pPr>
        <w:rPr>
          <w:rFonts w:ascii="Arial" w:hAnsi="Arial" w:cs="Arial"/>
          <w:sz w:val="28"/>
          <w:szCs w:val="28"/>
        </w:rPr>
      </w:pPr>
    </w:p>
    <w:p w:rsidR="002F5964" w:rsidRPr="00A7372C" w:rsidRDefault="002F5964">
      <w:pPr>
        <w:rPr>
          <w:rFonts w:ascii="Arial" w:hAnsi="Arial" w:cs="Arial"/>
          <w:sz w:val="28"/>
          <w:szCs w:val="28"/>
        </w:rPr>
      </w:pPr>
    </w:p>
    <w:sectPr w:rsidR="002F5964" w:rsidRPr="00A737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65B" w:rsidRDefault="002C065B" w:rsidP="004C7780">
      <w:pPr>
        <w:spacing w:after="0" w:line="240" w:lineRule="auto"/>
      </w:pPr>
      <w:r>
        <w:separator/>
      </w:r>
    </w:p>
  </w:endnote>
  <w:endnote w:type="continuationSeparator" w:id="0">
    <w:p w:rsidR="002C065B" w:rsidRDefault="002C065B" w:rsidP="004C7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65B" w:rsidRDefault="002C065B" w:rsidP="004C7780">
      <w:pPr>
        <w:spacing w:after="0" w:line="240" w:lineRule="auto"/>
      </w:pPr>
      <w:r>
        <w:separator/>
      </w:r>
    </w:p>
  </w:footnote>
  <w:footnote w:type="continuationSeparator" w:id="0">
    <w:p w:rsidR="002C065B" w:rsidRDefault="002C065B" w:rsidP="004C77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917A88"/>
    <w:multiLevelType w:val="hybridMultilevel"/>
    <w:tmpl w:val="DDE669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4B1524A"/>
    <w:multiLevelType w:val="hybridMultilevel"/>
    <w:tmpl w:val="53288C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72D"/>
    <w:rsid w:val="00012CA9"/>
    <w:rsid w:val="0008168F"/>
    <w:rsid w:val="000C7ABB"/>
    <w:rsid w:val="000D057F"/>
    <w:rsid w:val="000E3C8C"/>
    <w:rsid w:val="00130E50"/>
    <w:rsid w:val="00141B96"/>
    <w:rsid w:val="001448B5"/>
    <w:rsid w:val="00155E9D"/>
    <w:rsid w:val="00164571"/>
    <w:rsid w:val="001B5836"/>
    <w:rsid w:val="001C6B4B"/>
    <w:rsid w:val="001F3076"/>
    <w:rsid w:val="002036BF"/>
    <w:rsid w:val="00282E50"/>
    <w:rsid w:val="00291802"/>
    <w:rsid w:val="00293A63"/>
    <w:rsid w:val="002A4102"/>
    <w:rsid w:val="002B0CAC"/>
    <w:rsid w:val="002C065B"/>
    <w:rsid w:val="002D092A"/>
    <w:rsid w:val="002F5964"/>
    <w:rsid w:val="002F666E"/>
    <w:rsid w:val="003318BA"/>
    <w:rsid w:val="00372681"/>
    <w:rsid w:val="00373C8F"/>
    <w:rsid w:val="003772B7"/>
    <w:rsid w:val="003852A6"/>
    <w:rsid w:val="003A3BC7"/>
    <w:rsid w:val="003B74ED"/>
    <w:rsid w:val="003D517B"/>
    <w:rsid w:val="003F691C"/>
    <w:rsid w:val="003F75D8"/>
    <w:rsid w:val="0046120F"/>
    <w:rsid w:val="00471D42"/>
    <w:rsid w:val="0047537D"/>
    <w:rsid w:val="0048153A"/>
    <w:rsid w:val="004858BA"/>
    <w:rsid w:val="00492D07"/>
    <w:rsid w:val="004C46A8"/>
    <w:rsid w:val="004C7780"/>
    <w:rsid w:val="004D36FB"/>
    <w:rsid w:val="004D6015"/>
    <w:rsid w:val="004E29C3"/>
    <w:rsid w:val="004F62A4"/>
    <w:rsid w:val="005C5040"/>
    <w:rsid w:val="005C5BA1"/>
    <w:rsid w:val="005D7EB0"/>
    <w:rsid w:val="005F79E7"/>
    <w:rsid w:val="00612D09"/>
    <w:rsid w:val="00613977"/>
    <w:rsid w:val="006337FC"/>
    <w:rsid w:val="00656C02"/>
    <w:rsid w:val="006628EF"/>
    <w:rsid w:val="006B4B23"/>
    <w:rsid w:val="00732BDF"/>
    <w:rsid w:val="007829AC"/>
    <w:rsid w:val="00783902"/>
    <w:rsid w:val="00795000"/>
    <w:rsid w:val="007B788D"/>
    <w:rsid w:val="007C26FA"/>
    <w:rsid w:val="007C3573"/>
    <w:rsid w:val="007C6518"/>
    <w:rsid w:val="0082054D"/>
    <w:rsid w:val="00825E7B"/>
    <w:rsid w:val="0086559B"/>
    <w:rsid w:val="00866282"/>
    <w:rsid w:val="00877067"/>
    <w:rsid w:val="008921BF"/>
    <w:rsid w:val="008A53A9"/>
    <w:rsid w:val="008F68D7"/>
    <w:rsid w:val="009015E1"/>
    <w:rsid w:val="00914A8F"/>
    <w:rsid w:val="00931A41"/>
    <w:rsid w:val="00942192"/>
    <w:rsid w:val="00954B57"/>
    <w:rsid w:val="00966D57"/>
    <w:rsid w:val="00970C2F"/>
    <w:rsid w:val="009A49F7"/>
    <w:rsid w:val="009B06F0"/>
    <w:rsid w:val="009B7119"/>
    <w:rsid w:val="009D68BA"/>
    <w:rsid w:val="009E388C"/>
    <w:rsid w:val="009F20F9"/>
    <w:rsid w:val="00A7372C"/>
    <w:rsid w:val="00A8372D"/>
    <w:rsid w:val="00AD2ADA"/>
    <w:rsid w:val="00AD6D5C"/>
    <w:rsid w:val="00AE1C86"/>
    <w:rsid w:val="00B13575"/>
    <w:rsid w:val="00B31292"/>
    <w:rsid w:val="00B52C82"/>
    <w:rsid w:val="00B70112"/>
    <w:rsid w:val="00BA7C99"/>
    <w:rsid w:val="00BB308E"/>
    <w:rsid w:val="00BE75EB"/>
    <w:rsid w:val="00BF6763"/>
    <w:rsid w:val="00C34B2C"/>
    <w:rsid w:val="00C67AED"/>
    <w:rsid w:val="00D01D3C"/>
    <w:rsid w:val="00D06F71"/>
    <w:rsid w:val="00D227CA"/>
    <w:rsid w:val="00D305C1"/>
    <w:rsid w:val="00D52A8B"/>
    <w:rsid w:val="00DC1C97"/>
    <w:rsid w:val="00DD2E54"/>
    <w:rsid w:val="00E010F1"/>
    <w:rsid w:val="00E539CA"/>
    <w:rsid w:val="00E868D3"/>
    <w:rsid w:val="00EA11AE"/>
    <w:rsid w:val="00ED6621"/>
    <w:rsid w:val="00F219FA"/>
    <w:rsid w:val="00F24C65"/>
    <w:rsid w:val="00F50C45"/>
    <w:rsid w:val="00F67ED4"/>
    <w:rsid w:val="00F864BF"/>
    <w:rsid w:val="00F86970"/>
    <w:rsid w:val="00F908D8"/>
    <w:rsid w:val="00F93003"/>
    <w:rsid w:val="00FB21A2"/>
    <w:rsid w:val="00FD54A7"/>
    <w:rsid w:val="00FF0B7D"/>
    <w:rsid w:val="00FF1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3C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C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C8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C8C"/>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471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D42"/>
    <w:rPr>
      <w:rFonts w:ascii="Tahoma" w:hAnsi="Tahoma" w:cs="Tahoma"/>
      <w:sz w:val="16"/>
      <w:szCs w:val="16"/>
    </w:rPr>
  </w:style>
  <w:style w:type="paragraph" w:styleId="TOCHeading">
    <w:name w:val="TOC Heading"/>
    <w:basedOn w:val="Heading1"/>
    <w:next w:val="Normal"/>
    <w:uiPriority w:val="39"/>
    <w:semiHidden/>
    <w:unhideWhenUsed/>
    <w:qFormat/>
    <w:rsid w:val="000D057F"/>
    <w:pPr>
      <w:outlineLvl w:val="9"/>
    </w:pPr>
    <w:rPr>
      <w:lang w:val="en-US" w:eastAsia="ja-JP"/>
    </w:rPr>
  </w:style>
  <w:style w:type="paragraph" w:styleId="TOC1">
    <w:name w:val="toc 1"/>
    <w:basedOn w:val="Normal"/>
    <w:next w:val="Normal"/>
    <w:autoRedefine/>
    <w:uiPriority w:val="39"/>
    <w:unhideWhenUsed/>
    <w:rsid w:val="000D057F"/>
    <w:pPr>
      <w:spacing w:after="100"/>
    </w:pPr>
  </w:style>
  <w:style w:type="paragraph" w:styleId="TOC2">
    <w:name w:val="toc 2"/>
    <w:basedOn w:val="Normal"/>
    <w:next w:val="Normal"/>
    <w:autoRedefine/>
    <w:uiPriority w:val="39"/>
    <w:unhideWhenUsed/>
    <w:rsid w:val="000D057F"/>
    <w:pPr>
      <w:spacing w:after="100"/>
      <w:ind w:left="220"/>
    </w:pPr>
  </w:style>
  <w:style w:type="character" w:styleId="Hyperlink">
    <w:name w:val="Hyperlink"/>
    <w:basedOn w:val="DefaultParagraphFont"/>
    <w:uiPriority w:val="99"/>
    <w:unhideWhenUsed/>
    <w:rsid w:val="000D057F"/>
    <w:rPr>
      <w:color w:val="0000FF" w:themeColor="hyperlink"/>
      <w:u w:val="single"/>
    </w:rPr>
  </w:style>
  <w:style w:type="paragraph" w:styleId="ListParagraph">
    <w:name w:val="List Paragraph"/>
    <w:basedOn w:val="Normal"/>
    <w:uiPriority w:val="34"/>
    <w:qFormat/>
    <w:rsid w:val="007C26FA"/>
    <w:pPr>
      <w:ind w:left="720"/>
      <w:contextualSpacing/>
    </w:pPr>
  </w:style>
  <w:style w:type="paragraph" w:styleId="FootnoteText">
    <w:name w:val="footnote text"/>
    <w:basedOn w:val="Normal"/>
    <w:link w:val="FootnoteTextChar"/>
    <w:uiPriority w:val="99"/>
    <w:semiHidden/>
    <w:unhideWhenUsed/>
    <w:rsid w:val="004C77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7780"/>
    <w:rPr>
      <w:sz w:val="20"/>
      <w:szCs w:val="20"/>
    </w:rPr>
  </w:style>
  <w:style w:type="character" w:styleId="FootnoteReference">
    <w:name w:val="footnote reference"/>
    <w:basedOn w:val="DefaultParagraphFont"/>
    <w:uiPriority w:val="99"/>
    <w:semiHidden/>
    <w:unhideWhenUsed/>
    <w:rsid w:val="004C778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3C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E3C8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C8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E3C8C"/>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471D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D42"/>
    <w:rPr>
      <w:rFonts w:ascii="Tahoma" w:hAnsi="Tahoma" w:cs="Tahoma"/>
      <w:sz w:val="16"/>
      <w:szCs w:val="16"/>
    </w:rPr>
  </w:style>
  <w:style w:type="paragraph" w:styleId="TOCHeading">
    <w:name w:val="TOC Heading"/>
    <w:basedOn w:val="Heading1"/>
    <w:next w:val="Normal"/>
    <w:uiPriority w:val="39"/>
    <w:semiHidden/>
    <w:unhideWhenUsed/>
    <w:qFormat/>
    <w:rsid w:val="000D057F"/>
    <w:pPr>
      <w:outlineLvl w:val="9"/>
    </w:pPr>
    <w:rPr>
      <w:lang w:val="en-US" w:eastAsia="ja-JP"/>
    </w:rPr>
  </w:style>
  <w:style w:type="paragraph" w:styleId="TOC1">
    <w:name w:val="toc 1"/>
    <w:basedOn w:val="Normal"/>
    <w:next w:val="Normal"/>
    <w:autoRedefine/>
    <w:uiPriority w:val="39"/>
    <w:unhideWhenUsed/>
    <w:rsid w:val="000D057F"/>
    <w:pPr>
      <w:spacing w:after="100"/>
    </w:pPr>
  </w:style>
  <w:style w:type="paragraph" w:styleId="TOC2">
    <w:name w:val="toc 2"/>
    <w:basedOn w:val="Normal"/>
    <w:next w:val="Normal"/>
    <w:autoRedefine/>
    <w:uiPriority w:val="39"/>
    <w:unhideWhenUsed/>
    <w:rsid w:val="000D057F"/>
    <w:pPr>
      <w:spacing w:after="100"/>
      <w:ind w:left="220"/>
    </w:pPr>
  </w:style>
  <w:style w:type="character" w:styleId="Hyperlink">
    <w:name w:val="Hyperlink"/>
    <w:basedOn w:val="DefaultParagraphFont"/>
    <w:uiPriority w:val="99"/>
    <w:unhideWhenUsed/>
    <w:rsid w:val="000D057F"/>
    <w:rPr>
      <w:color w:val="0000FF" w:themeColor="hyperlink"/>
      <w:u w:val="single"/>
    </w:rPr>
  </w:style>
  <w:style w:type="paragraph" w:styleId="ListParagraph">
    <w:name w:val="List Paragraph"/>
    <w:basedOn w:val="Normal"/>
    <w:uiPriority w:val="34"/>
    <w:qFormat/>
    <w:rsid w:val="007C26FA"/>
    <w:pPr>
      <w:ind w:left="720"/>
      <w:contextualSpacing/>
    </w:pPr>
  </w:style>
  <w:style w:type="paragraph" w:styleId="FootnoteText">
    <w:name w:val="footnote text"/>
    <w:basedOn w:val="Normal"/>
    <w:link w:val="FootnoteTextChar"/>
    <w:uiPriority w:val="99"/>
    <w:semiHidden/>
    <w:unhideWhenUsed/>
    <w:rsid w:val="004C77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C7780"/>
    <w:rPr>
      <w:sz w:val="20"/>
      <w:szCs w:val="20"/>
    </w:rPr>
  </w:style>
  <w:style w:type="character" w:styleId="FootnoteReference">
    <w:name w:val="footnote reference"/>
    <w:basedOn w:val="DefaultParagraphFont"/>
    <w:uiPriority w:val="99"/>
    <w:semiHidden/>
    <w:unhideWhenUsed/>
    <w:rsid w:val="004C7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71565">
      <w:bodyDiv w:val="1"/>
      <w:marLeft w:val="0"/>
      <w:marRight w:val="0"/>
      <w:marTop w:val="0"/>
      <w:marBottom w:val="0"/>
      <w:divBdr>
        <w:top w:val="none" w:sz="0" w:space="0" w:color="auto"/>
        <w:left w:val="none" w:sz="0" w:space="0" w:color="auto"/>
        <w:bottom w:val="none" w:sz="0" w:space="0" w:color="auto"/>
        <w:right w:val="none" w:sz="0" w:space="0" w:color="auto"/>
      </w:divBdr>
    </w:div>
    <w:div w:id="72096050">
      <w:bodyDiv w:val="1"/>
      <w:marLeft w:val="0"/>
      <w:marRight w:val="0"/>
      <w:marTop w:val="0"/>
      <w:marBottom w:val="0"/>
      <w:divBdr>
        <w:top w:val="none" w:sz="0" w:space="0" w:color="auto"/>
        <w:left w:val="none" w:sz="0" w:space="0" w:color="auto"/>
        <w:bottom w:val="none" w:sz="0" w:space="0" w:color="auto"/>
        <w:right w:val="none" w:sz="0" w:space="0" w:color="auto"/>
      </w:divBdr>
    </w:div>
    <w:div w:id="226453191">
      <w:bodyDiv w:val="1"/>
      <w:marLeft w:val="0"/>
      <w:marRight w:val="0"/>
      <w:marTop w:val="0"/>
      <w:marBottom w:val="0"/>
      <w:divBdr>
        <w:top w:val="none" w:sz="0" w:space="0" w:color="auto"/>
        <w:left w:val="none" w:sz="0" w:space="0" w:color="auto"/>
        <w:bottom w:val="none" w:sz="0" w:space="0" w:color="auto"/>
        <w:right w:val="none" w:sz="0" w:space="0" w:color="auto"/>
      </w:divBdr>
    </w:div>
    <w:div w:id="258412372">
      <w:bodyDiv w:val="1"/>
      <w:marLeft w:val="0"/>
      <w:marRight w:val="0"/>
      <w:marTop w:val="0"/>
      <w:marBottom w:val="0"/>
      <w:divBdr>
        <w:top w:val="none" w:sz="0" w:space="0" w:color="auto"/>
        <w:left w:val="none" w:sz="0" w:space="0" w:color="auto"/>
        <w:bottom w:val="none" w:sz="0" w:space="0" w:color="auto"/>
        <w:right w:val="none" w:sz="0" w:space="0" w:color="auto"/>
      </w:divBdr>
    </w:div>
    <w:div w:id="580145814">
      <w:bodyDiv w:val="1"/>
      <w:marLeft w:val="0"/>
      <w:marRight w:val="0"/>
      <w:marTop w:val="0"/>
      <w:marBottom w:val="0"/>
      <w:divBdr>
        <w:top w:val="none" w:sz="0" w:space="0" w:color="auto"/>
        <w:left w:val="none" w:sz="0" w:space="0" w:color="auto"/>
        <w:bottom w:val="none" w:sz="0" w:space="0" w:color="auto"/>
        <w:right w:val="none" w:sz="0" w:space="0" w:color="auto"/>
      </w:divBdr>
    </w:div>
    <w:div w:id="624852057">
      <w:bodyDiv w:val="1"/>
      <w:marLeft w:val="0"/>
      <w:marRight w:val="0"/>
      <w:marTop w:val="0"/>
      <w:marBottom w:val="0"/>
      <w:divBdr>
        <w:top w:val="none" w:sz="0" w:space="0" w:color="auto"/>
        <w:left w:val="none" w:sz="0" w:space="0" w:color="auto"/>
        <w:bottom w:val="none" w:sz="0" w:space="0" w:color="auto"/>
        <w:right w:val="none" w:sz="0" w:space="0" w:color="auto"/>
      </w:divBdr>
    </w:div>
    <w:div w:id="841971155">
      <w:bodyDiv w:val="1"/>
      <w:marLeft w:val="0"/>
      <w:marRight w:val="0"/>
      <w:marTop w:val="0"/>
      <w:marBottom w:val="0"/>
      <w:divBdr>
        <w:top w:val="none" w:sz="0" w:space="0" w:color="auto"/>
        <w:left w:val="none" w:sz="0" w:space="0" w:color="auto"/>
        <w:bottom w:val="none" w:sz="0" w:space="0" w:color="auto"/>
        <w:right w:val="none" w:sz="0" w:space="0" w:color="auto"/>
      </w:divBdr>
    </w:div>
    <w:div w:id="928076367">
      <w:bodyDiv w:val="1"/>
      <w:marLeft w:val="0"/>
      <w:marRight w:val="0"/>
      <w:marTop w:val="0"/>
      <w:marBottom w:val="0"/>
      <w:divBdr>
        <w:top w:val="none" w:sz="0" w:space="0" w:color="auto"/>
        <w:left w:val="none" w:sz="0" w:space="0" w:color="auto"/>
        <w:bottom w:val="none" w:sz="0" w:space="0" w:color="auto"/>
        <w:right w:val="none" w:sz="0" w:space="0" w:color="auto"/>
      </w:divBdr>
    </w:div>
    <w:div w:id="1435977136">
      <w:bodyDiv w:val="1"/>
      <w:marLeft w:val="0"/>
      <w:marRight w:val="0"/>
      <w:marTop w:val="0"/>
      <w:marBottom w:val="0"/>
      <w:divBdr>
        <w:top w:val="none" w:sz="0" w:space="0" w:color="auto"/>
        <w:left w:val="none" w:sz="0" w:space="0" w:color="auto"/>
        <w:bottom w:val="none" w:sz="0" w:space="0" w:color="auto"/>
        <w:right w:val="none" w:sz="0" w:space="0" w:color="auto"/>
      </w:divBdr>
    </w:div>
    <w:div w:id="1503734658">
      <w:bodyDiv w:val="1"/>
      <w:marLeft w:val="0"/>
      <w:marRight w:val="0"/>
      <w:marTop w:val="0"/>
      <w:marBottom w:val="0"/>
      <w:divBdr>
        <w:top w:val="none" w:sz="0" w:space="0" w:color="auto"/>
        <w:left w:val="none" w:sz="0" w:space="0" w:color="auto"/>
        <w:bottom w:val="none" w:sz="0" w:space="0" w:color="auto"/>
        <w:right w:val="none" w:sz="0" w:space="0" w:color="auto"/>
      </w:divBdr>
    </w:div>
    <w:div w:id="1516921346">
      <w:bodyDiv w:val="1"/>
      <w:marLeft w:val="0"/>
      <w:marRight w:val="0"/>
      <w:marTop w:val="0"/>
      <w:marBottom w:val="0"/>
      <w:divBdr>
        <w:top w:val="none" w:sz="0" w:space="0" w:color="auto"/>
        <w:left w:val="none" w:sz="0" w:space="0" w:color="auto"/>
        <w:bottom w:val="none" w:sz="0" w:space="0" w:color="auto"/>
        <w:right w:val="none" w:sz="0" w:space="0" w:color="auto"/>
      </w:divBdr>
      <w:divsChild>
        <w:div w:id="1283221222">
          <w:marLeft w:val="0"/>
          <w:marRight w:val="0"/>
          <w:marTop w:val="0"/>
          <w:marBottom w:val="0"/>
          <w:divBdr>
            <w:top w:val="none" w:sz="0" w:space="0" w:color="auto"/>
            <w:left w:val="none" w:sz="0" w:space="0" w:color="auto"/>
            <w:bottom w:val="none" w:sz="0" w:space="0" w:color="auto"/>
            <w:right w:val="none" w:sz="0" w:space="0" w:color="auto"/>
          </w:divBdr>
        </w:div>
        <w:div w:id="548103915">
          <w:marLeft w:val="0"/>
          <w:marRight w:val="0"/>
          <w:marTop w:val="0"/>
          <w:marBottom w:val="0"/>
          <w:divBdr>
            <w:top w:val="none" w:sz="0" w:space="0" w:color="auto"/>
            <w:left w:val="none" w:sz="0" w:space="0" w:color="auto"/>
            <w:bottom w:val="none" w:sz="0" w:space="0" w:color="auto"/>
            <w:right w:val="none" w:sz="0" w:space="0" w:color="auto"/>
          </w:divBdr>
        </w:div>
      </w:divsChild>
    </w:div>
    <w:div w:id="1551307711">
      <w:bodyDiv w:val="1"/>
      <w:marLeft w:val="0"/>
      <w:marRight w:val="0"/>
      <w:marTop w:val="0"/>
      <w:marBottom w:val="0"/>
      <w:divBdr>
        <w:top w:val="none" w:sz="0" w:space="0" w:color="auto"/>
        <w:left w:val="none" w:sz="0" w:space="0" w:color="auto"/>
        <w:bottom w:val="none" w:sz="0" w:space="0" w:color="auto"/>
        <w:right w:val="none" w:sz="0" w:space="0" w:color="auto"/>
      </w:divBdr>
    </w:div>
    <w:div w:id="1838110054">
      <w:bodyDiv w:val="1"/>
      <w:marLeft w:val="0"/>
      <w:marRight w:val="0"/>
      <w:marTop w:val="0"/>
      <w:marBottom w:val="0"/>
      <w:divBdr>
        <w:top w:val="none" w:sz="0" w:space="0" w:color="auto"/>
        <w:left w:val="none" w:sz="0" w:space="0" w:color="auto"/>
        <w:bottom w:val="none" w:sz="0" w:space="0" w:color="auto"/>
        <w:right w:val="none" w:sz="0" w:space="0" w:color="auto"/>
      </w:divBdr>
      <w:divsChild>
        <w:div w:id="1817794099">
          <w:marLeft w:val="0"/>
          <w:marRight w:val="0"/>
          <w:marTop w:val="0"/>
          <w:marBottom w:val="0"/>
          <w:divBdr>
            <w:top w:val="none" w:sz="0" w:space="0" w:color="auto"/>
            <w:left w:val="none" w:sz="0" w:space="0" w:color="auto"/>
            <w:bottom w:val="none" w:sz="0" w:space="0" w:color="auto"/>
            <w:right w:val="none" w:sz="0" w:space="0" w:color="auto"/>
          </w:divBdr>
        </w:div>
        <w:div w:id="332807298">
          <w:marLeft w:val="0"/>
          <w:marRight w:val="0"/>
          <w:marTop w:val="0"/>
          <w:marBottom w:val="0"/>
          <w:divBdr>
            <w:top w:val="none" w:sz="0" w:space="0" w:color="auto"/>
            <w:left w:val="none" w:sz="0" w:space="0" w:color="auto"/>
            <w:bottom w:val="none" w:sz="0" w:space="0" w:color="auto"/>
            <w:right w:val="none" w:sz="0" w:space="0" w:color="auto"/>
          </w:divBdr>
        </w:div>
        <w:div w:id="1365448085">
          <w:marLeft w:val="0"/>
          <w:marRight w:val="0"/>
          <w:marTop w:val="0"/>
          <w:marBottom w:val="0"/>
          <w:divBdr>
            <w:top w:val="none" w:sz="0" w:space="0" w:color="auto"/>
            <w:left w:val="none" w:sz="0" w:space="0" w:color="auto"/>
            <w:bottom w:val="none" w:sz="0" w:space="0" w:color="auto"/>
            <w:right w:val="none" w:sz="0" w:space="0" w:color="auto"/>
          </w:divBdr>
        </w:div>
        <w:div w:id="2139957804">
          <w:marLeft w:val="0"/>
          <w:marRight w:val="0"/>
          <w:marTop w:val="0"/>
          <w:marBottom w:val="0"/>
          <w:divBdr>
            <w:top w:val="none" w:sz="0" w:space="0" w:color="auto"/>
            <w:left w:val="none" w:sz="0" w:space="0" w:color="auto"/>
            <w:bottom w:val="none" w:sz="0" w:space="0" w:color="auto"/>
            <w:right w:val="none" w:sz="0" w:space="0" w:color="auto"/>
          </w:divBdr>
        </w:div>
      </w:divsChild>
    </w:div>
    <w:div w:id="1946226817">
      <w:bodyDiv w:val="1"/>
      <w:marLeft w:val="0"/>
      <w:marRight w:val="0"/>
      <w:marTop w:val="0"/>
      <w:marBottom w:val="0"/>
      <w:divBdr>
        <w:top w:val="none" w:sz="0" w:space="0" w:color="auto"/>
        <w:left w:val="none" w:sz="0" w:space="0" w:color="auto"/>
        <w:bottom w:val="none" w:sz="0" w:space="0" w:color="auto"/>
        <w:right w:val="none" w:sz="0" w:space="0" w:color="auto"/>
      </w:divBdr>
    </w:div>
    <w:div w:id="1959601414">
      <w:bodyDiv w:val="1"/>
      <w:marLeft w:val="0"/>
      <w:marRight w:val="0"/>
      <w:marTop w:val="0"/>
      <w:marBottom w:val="0"/>
      <w:divBdr>
        <w:top w:val="none" w:sz="0" w:space="0" w:color="auto"/>
        <w:left w:val="none" w:sz="0" w:space="0" w:color="auto"/>
        <w:bottom w:val="none" w:sz="0" w:space="0" w:color="auto"/>
        <w:right w:val="none" w:sz="0" w:space="0" w:color="auto"/>
      </w:divBdr>
      <w:divsChild>
        <w:div w:id="1054935116">
          <w:marLeft w:val="0"/>
          <w:marRight w:val="0"/>
          <w:marTop w:val="0"/>
          <w:marBottom w:val="0"/>
          <w:divBdr>
            <w:top w:val="none" w:sz="0" w:space="0" w:color="auto"/>
            <w:left w:val="none" w:sz="0" w:space="0" w:color="auto"/>
            <w:bottom w:val="none" w:sz="0" w:space="0" w:color="auto"/>
            <w:right w:val="none" w:sz="0" w:space="0" w:color="auto"/>
          </w:divBdr>
        </w:div>
        <w:div w:id="1351445262">
          <w:marLeft w:val="0"/>
          <w:marRight w:val="0"/>
          <w:marTop w:val="0"/>
          <w:marBottom w:val="0"/>
          <w:divBdr>
            <w:top w:val="none" w:sz="0" w:space="0" w:color="auto"/>
            <w:left w:val="none" w:sz="0" w:space="0" w:color="auto"/>
            <w:bottom w:val="none" w:sz="0" w:space="0" w:color="auto"/>
            <w:right w:val="none" w:sz="0" w:space="0" w:color="auto"/>
          </w:divBdr>
        </w:div>
        <w:div w:id="794952697">
          <w:marLeft w:val="0"/>
          <w:marRight w:val="0"/>
          <w:marTop w:val="0"/>
          <w:marBottom w:val="0"/>
          <w:divBdr>
            <w:top w:val="none" w:sz="0" w:space="0" w:color="auto"/>
            <w:left w:val="none" w:sz="0" w:space="0" w:color="auto"/>
            <w:bottom w:val="none" w:sz="0" w:space="0" w:color="auto"/>
            <w:right w:val="none" w:sz="0" w:space="0" w:color="auto"/>
          </w:divBdr>
        </w:div>
        <w:div w:id="1765876595">
          <w:marLeft w:val="0"/>
          <w:marRight w:val="0"/>
          <w:marTop w:val="0"/>
          <w:marBottom w:val="0"/>
          <w:divBdr>
            <w:top w:val="none" w:sz="0" w:space="0" w:color="auto"/>
            <w:left w:val="none" w:sz="0" w:space="0" w:color="auto"/>
            <w:bottom w:val="none" w:sz="0" w:space="0" w:color="auto"/>
            <w:right w:val="none" w:sz="0" w:space="0" w:color="auto"/>
          </w:divBdr>
        </w:div>
      </w:divsChild>
    </w:div>
    <w:div w:id="2037270206">
      <w:bodyDiv w:val="1"/>
      <w:marLeft w:val="0"/>
      <w:marRight w:val="0"/>
      <w:marTop w:val="0"/>
      <w:marBottom w:val="0"/>
      <w:divBdr>
        <w:top w:val="none" w:sz="0" w:space="0" w:color="auto"/>
        <w:left w:val="none" w:sz="0" w:space="0" w:color="auto"/>
        <w:bottom w:val="none" w:sz="0" w:space="0" w:color="auto"/>
        <w:right w:val="none" w:sz="0" w:space="0" w:color="auto"/>
      </w:divBdr>
    </w:div>
    <w:div w:id="203950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rtscouncil-ni.org/images/uploads/publications-documents/AFS_Dashboard_16_1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FB6B888-EA46-47AF-8B79-F2BA10540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Malcolm</dc:creator>
  <cp:lastModifiedBy>Leanne Magee</cp:lastModifiedBy>
  <cp:revision>6</cp:revision>
  <dcterms:created xsi:type="dcterms:W3CDTF">2017-11-20T14:38:00Z</dcterms:created>
  <dcterms:modified xsi:type="dcterms:W3CDTF">2017-11-22T09:00:00Z</dcterms:modified>
</cp:coreProperties>
</file>