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8139" w14:textId="33465DAE" w:rsidR="00936654" w:rsidRPr="00061F47" w:rsidRDefault="00061F47">
      <w:pPr>
        <w:rPr>
          <w:b/>
          <w:bCs/>
          <w:sz w:val="24"/>
          <w:szCs w:val="24"/>
          <w:lang w:val="en-US"/>
        </w:rPr>
      </w:pPr>
      <w:r w:rsidRPr="00061F47">
        <w:rPr>
          <w:b/>
          <w:bCs/>
          <w:sz w:val="24"/>
          <w:szCs w:val="24"/>
          <w:lang w:val="en-US"/>
        </w:rPr>
        <w:t>Arts Council of Northern Ireland Official Statistics Timetable 2025/26</w:t>
      </w:r>
    </w:p>
    <w:tbl>
      <w:tblPr>
        <w:tblStyle w:val="TableGrid"/>
        <w:tblW w:w="0" w:type="auto"/>
        <w:tblLook w:val="04A0" w:firstRow="1" w:lastRow="0" w:firstColumn="1" w:lastColumn="0" w:noHBand="0" w:noVBand="1"/>
      </w:tblPr>
      <w:tblGrid>
        <w:gridCol w:w="2342"/>
        <w:gridCol w:w="2347"/>
        <w:gridCol w:w="2346"/>
        <w:gridCol w:w="2343"/>
        <w:gridCol w:w="2413"/>
        <w:gridCol w:w="2157"/>
      </w:tblGrid>
      <w:tr w:rsidR="00061F47" w:rsidRPr="00061F47" w14:paraId="1DB3FB9D" w14:textId="3269FD3A" w:rsidTr="00061F47">
        <w:tc>
          <w:tcPr>
            <w:tcW w:w="2342" w:type="dxa"/>
            <w:shd w:val="clear" w:color="auto" w:fill="D9D9D9" w:themeFill="background1" w:themeFillShade="D9"/>
          </w:tcPr>
          <w:p w14:paraId="61821424" w14:textId="4134B57B" w:rsidR="00061F47" w:rsidRPr="00061F47" w:rsidRDefault="00061F47" w:rsidP="00061F47">
            <w:pPr>
              <w:rPr>
                <w:b/>
                <w:bCs/>
                <w:lang w:val="en-US"/>
              </w:rPr>
            </w:pPr>
            <w:r w:rsidRPr="00061F47">
              <w:rPr>
                <w:b/>
                <w:bCs/>
                <w:lang w:val="en-US"/>
              </w:rPr>
              <w:t>Official statistic</w:t>
            </w:r>
          </w:p>
        </w:tc>
        <w:tc>
          <w:tcPr>
            <w:tcW w:w="2347" w:type="dxa"/>
            <w:shd w:val="clear" w:color="auto" w:fill="D9D9D9" w:themeFill="background1" w:themeFillShade="D9"/>
          </w:tcPr>
          <w:p w14:paraId="564B980C" w14:textId="5476F893" w:rsidR="00061F47" w:rsidRPr="00061F47" w:rsidRDefault="00061F47" w:rsidP="00061F47">
            <w:pPr>
              <w:rPr>
                <w:b/>
                <w:bCs/>
                <w:lang w:val="en-US"/>
              </w:rPr>
            </w:pPr>
            <w:r w:rsidRPr="00061F47">
              <w:rPr>
                <w:b/>
                <w:bCs/>
                <w:lang w:val="en-US"/>
              </w:rPr>
              <w:t>Purpose of statistic</w:t>
            </w:r>
          </w:p>
        </w:tc>
        <w:tc>
          <w:tcPr>
            <w:tcW w:w="2346" w:type="dxa"/>
            <w:shd w:val="clear" w:color="auto" w:fill="D9D9D9" w:themeFill="background1" w:themeFillShade="D9"/>
          </w:tcPr>
          <w:p w14:paraId="2D14DE93" w14:textId="6F000435" w:rsidR="00061F47" w:rsidRPr="00061F47" w:rsidRDefault="00061F47" w:rsidP="00061F47">
            <w:pPr>
              <w:rPr>
                <w:b/>
                <w:bCs/>
                <w:lang w:val="en-US"/>
              </w:rPr>
            </w:pPr>
            <w:r w:rsidRPr="00061F47">
              <w:rPr>
                <w:b/>
                <w:bCs/>
                <w:lang w:val="en-US"/>
              </w:rPr>
              <w:t>Content of the release</w:t>
            </w:r>
          </w:p>
        </w:tc>
        <w:tc>
          <w:tcPr>
            <w:tcW w:w="2343" w:type="dxa"/>
            <w:shd w:val="clear" w:color="auto" w:fill="D9D9D9" w:themeFill="background1" w:themeFillShade="D9"/>
          </w:tcPr>
          <w:p w14:paraId="14AB7B8E" w14:textId="2CFF1CE9" w:rsidR="00061F47" w:rsidRPr="00061F47" w:rsidRDefault="00061F47" w:rsidP="00061F47">
            <w:pPr>
              <w:rPr>
                <w:b/>
                <w:bCs/>
                <w:lang w:val="en-US"/>
              </w:rPr>
            </w:pPr>
            <w:r w:rsidRPr="00061F47">
              <w:rPr>
                <w:b/>
                <w:bCs/>
                <w:lang w:val="en-US"/>
              </w:rPr>
              <w:t>Release date</w:t>
            </w:r>
          </w:p>
        </w:tc>
        <w:tc>
          <w:tcPr>
            <w:tcW w:w="2413" w:type="dxa"/>
            <w:shd w:val="clear" w:color="auto" w:fill="D9D9D9" w:themeFill="background1" w:themeFillShade="D9"/>
          </w:tcPr>
          <w:p w14:paraId="3DE552D7" w14:textId="77777777" w:rsidR="00061F47" w:rsidRPr="00061F47" w:rsidRDefault="00061F47" w:rsidP="00061F47">
            <w:pPr>
              <w:rPr>
                <w:b/>
                <w:bCs/>
                <w:lang w:val="en-US"/>
              </w:rPr>
            </w:pPr>
            <w:r w:rsidRPr="00061F47">
              <w:rPr>
                <w:b/>
                <w:bCs/>
                <w:lang w:val="en-US"/>
              </w:rPr>
              <w:t xml:space="preserve">Staff with access for </w:t>
            </w:r>
          </w:p>
          <w:p w14:paraId="21A7E23E" w14:textId="77777777" w:rsidR="00061F47" w:rsidRPr="00061F47" w:rsidRDefault="00061F47" w:rsidP="00061F47">
            <w:pPr>
              <w:rPr>
                <w:b/>
                <w:bCs/>
                <w:lang w:val="en-US"/>
              </w:rPr>
            </w:pPr>
            <w:r w:rsidRPr="00061F47">
              <w:rPr>
                <w:b/>
                <w:bCs/>
                <w:lang w:val="en-US"/>
              </w:rPr>
              <w:t xml:space="preserve">production and quality </w:t>
            </w:r>
          </w:p>
          <w:p w14:paraId="409F19B9" w14:textId="77777777" w:rsidR="00061F47" w:rsidRPr="00061F47" w:rsidRDefault="00061F47" w:rsidP="00061F47">
            <w:pPr>
              <w:rPr>
                <w:b/>
                <w:bCs/>
                <w:lang w:val="en-US"/>
              </w:rPr>
            </w:pPr>
            <w:r w:rsidRPr="00061F47">
              <w:rPr>
                <w:b/>
                <w:bCs/>
                <w:lang w:val="en-US"/>
              </w:rPr>
              <w:t>assurance purposes</w:t>
            </w:r>
          </w:p>
          <w:p w14:paraId="11AFBB60" w14:textId="77777777" w:rsidR="00061F47" w:rsidRPr="00061F47" w:rsidRDefault="00061F47" w:rsidP="00061F47">
            <w:pPr>
              <w:rPr>
                <w:b/>
                <w:bCs/>
                <w:lang w:val="en-US"/>
              </w:rPr>
            </w:pPr>
          </w:p>
        </w:tc>
        <w:tc>
          <w:tcPr>
            <w:tcW w:w="2157" w:type="dxa"/>
            <w:shd w:val="clear" w:color="auto" w:fill="D9D9D9" w:themeFill="background1" w:themeFillShade="D9"/>
          </w:tcPr>
          <w:p w14:paraId="141A8E45" w14:textId="3EE58C7A" w:rsidR="00061F47" w:rsidRPr="00061F47" w:rsidRDefault="00061F47" w:rsidP="00061F47">
            <w:pPr>
              <w:rPr>
                <w:b/>
                <w:bCs/>
                <w:lang w:val="en-US"/>
              </w:rPr>
            </w:pPr>
            <w:r w:rsidRPr="00061F47">
              <w:rPr>
                <w:b/>
                <w:bCs/>
                <w:lang w:val="en-US"/>
              </w:rPr>
              <w:t xml:space="preserve">24 </w:t>
            </w:r>
            <w:proofErr w:type="gramStart"/>
            <w:r w:rsidRPr="00061F47">
              <w:rPr>
                <w:b/>
                <w:bCs/>
                <w:lang w:val="en-US"/>
              </w:rPr>
              <w:t>hour</w:t>
            </w:r>
            <w:proofErr w:type="gramEnd"/>
            <w:r w:rsidRPr="00061F47">
              <w:rPr>
                <w:b/>
                <w:bCs/>
                <w:lang w:val="en-US"/>
              </w:rPr>
              <w:t xml:space="preserve"> </w:t>
            </w:r>
          </w:p>
          <w:p w14:paraId="59D0B42C" w14:textId="77777777" w:rsidR="00061F47" w:rsidRPr="00061F47" w:rsidRDefault="00061F47" w:rsidP="00061F47">
            <w:pPr>
              <w:rPr>
                <w:b/>
                <w:bCs/>
                <w:lang w:val="en-US"/>
              </w:rPr>
            </w:pPr>
            <w:r w:rsidRPr="00061F47">
              <w:rPr>
                <w:b/>
                <w:bCs/>
                <w:lang w:val="en-US"/>
              </w:rPr>
              <w:t xml:space="preserve">pre-release </w:t>
            </w:r>
          </w:p>
          <w:p w14:paraId="369CE449" w14:textId="77777777" w:rsidR="00061F47" w:rsidRPr="00061F47" w:rsidRDefault="00061F47" w:rsidP="00061F47">
            <w:pPr>
              <w:rPr>
                <w:b/>
                <w:bCs/>
                <w:lang w:val="en-US"/>
              </w:rPr>
            </w:pPr>
            <w:r w:rsidRPr="00061F47">
              <w:rPr>
                <w:b/>
                <w:bCs/>
                <w:lang w:val="en-US"/>
              </w:rPr>
              <w:t>access</w:t>
            </w:r>
          </w:p>
          <w:p w14:paraId="27247124" w14:textId="77777777" w:rsidR="00061F47" w:rsidRPr="00061F47" w:rsidRDefault="00061F47" w:rsidP="00061F47">
            <w:pPr>
              <w:rPr>
                <w:b/>
                <w:bCs/>
                <w:lang w:val="en-US"/>
              </w:rPr>
            </w:pPr>
          </w:p>
        </w:tc>
      </w:tr>
      <w:tr w:rsidR="00061F47" w14:paraId="1A3F8F06" w14:textId="77777777" w:rsidTr="00061F47">
        <w:tc>
          <w:tcPr>
            <w:tcW w:w="2342" w:type="dxa"/>
          </w:tcPr>
          <w:p w14:paraId="061B32E1" w14:textId="0499B042" w:rsidR="00061F47" w:rsidRPr="00061F47" w:rsidRDefault="00061F47" w:rsidP="00061F47">
            <w:pPr>
              <w:rPr>
                <w:lang w:val="en-US"/>
              </w:rPr>
            </w:pPr>
            <w:r>
              <w:rPr>
                <w:lang w:val="en-US"/>
              </w:rPr>
              <w:t>Annual Investment Survey (AIS)</w:t>
            </w:r>
          </w:p>
        </w:tc>
        <w:tc>
          <w:tcPr>
            <w:tcW w:w="2347" w:type="dxa"/>
          </w:tcPr>
          <w:p w14:paraId="5C7B852E" w14:textId="24A16C94" w:rsidR="00061F47" w:rsidRPr="00061F47" w:rsidRDefault="00061F47" w:rsidP="00061F47">
            <w:pPr>
              <w:rPr>
                <w:lang w:val="en-US"/>
              </w:rPr>
            </w:pPr>
            <w:r w:rsidRPr="00061F47">
              <w:t xml:space="preserve">Statistics on the financial, operational and artistic activities of arts organisations in receipt of funding from the Arts Council if Northern Ireland. The statistics help monitor the performance of funded organisations; evaluate impact and inform policy decisions. User groups include Arts Council </w:t>
            </w:r>
            <w:r>
              <w:t>s</w:t>
            </w:r>
            <w:r w:rsidRPr="00061F47">
              <w:t>taff, arts</w:t>
            </w:r>
            <w:r>
              <w:t xml:space="preserve"> and culture-based </w:t>
            </w:r>
            <w:r w:rsidRPr="00061F47">
              <w:t>organisations, academics and</w:t>
            </w:r>
            <w:r>
              <w:t xml:space="preserve"> government departments</w:t>
            </w:r>
          </w:p>
        </w:tc>
        <w:tc>
          <w:tcPr>
            <w:tcW w:w="2346" w:type="dxa"/>
          </w:tcPr>
          <w:p w14:paraId="09B10C55" w14:textId="294E9BD6" w:rsidR="00061F47" w:rsidRPr="00061F47" w:rsidRDefault="00061F47" w:rsidP="00061F47">
            <w:pPr>
              <w:rPr>
                <w:lang w:val="en-US"/>
              </w:rPr>
            </w:pPr>
            <w:r w:rsidRPr="00061F47">
              <w:t>Analysis of survey findings and comparison with previous years. Includes data on funded organisation finance, activity, and employment and location characteristics.</w:t>
            </w:r>
          </w:p>
        </w:tc>
        <w:tc>
          <w:tcPr>
            <w:tcW w:w="2343" w:type="dxa"/>
          </w:tcPr>
          <w:p w14:paraId="6832CB74" w14:textId="28CEBAED" w:rsidR="00061F47" w:rsidRDefault="00061F47" w:rsidP="00061F47">
            <w:pPr>
              <w:rPr>
                <w:lang w:val="en-US"/>
              </w:rPr>
            </w:pPr>
            <w:r>
              <w:rPr>
                <w:lang w:val="en-US"/>
              </w:rPr>
              <w:t>Thursday 2 October, 2025</w:t>
            </w:r>
          </w:p>
        </w:tc>
        <w:tc>
          <w:tcPr>
            <w:tcW w:w="2413" w:type="dxa"/>
          </w:tcPr>
          <w:p w14:paraId="7FB41247" w14:textId="78462C9C" w:rsidR="00061F47" w:rsidRPr="00061F47" w:rsidRDefault="00061F47" w:rsidP="00061F47">
            <w:pPr>
              <w:rPr>
                <w:lang w:val="en-US"/>
              </w:rPr>
            </w:pPr>
            <w:r w:rsidRPr="00061F47">
              <w:t>Director of Strategic Development; Director of Operations;</w:t>
            </w:r>
            <w:r>
              <w:t xml:space="preserve"> Economist; Research &amp; Policy Officer; Creative Industries Development Officer</w:t>
            </w:r>
          </w:p>
        </w:tc>
        <w:tc>
          <w:tcPr>
            <w:tcW w:w="2157" w:type="dxa"/>
          </w:tcPr>
          <w:p w14:paraId="2E9D5E8D" w14:textId="77777777" w:rsidR="00061F47" w:rsidRDefault="00061F47" w:rsidP="00061F47">
            <w:pPr>
              <w:rPr>
                <w:lang w:val="en-US"/>
              </w:rPr>
            </w:pPr>
            <w:r>
              <w:rPr>
                <w:lang w:val="en-US"/>
              </w:rPr>
              <w:t>Chief Executive</w:t>
            </w:r>
          </w:p>
          <w:p w14:paraId="3A2E38A3" w14:textId="5178279D" w:rsidR="00061F47" w:rsidRPr="00061F47" w:rsidRDefault="00061F47" w:rsidP="00061F47">
            <w:pPr>
              <w:rPr>
                <w:lang w:val="en-US"/>
              </w:rPr>
            </w:pPr>
            <w:r>
              <w:rPr>
                <w:lang w:val="en-US"/>
              </w:rPr>
              <w:t>Communication Team</w:t>
            </w:r>
          </w:p>
        </w:tc>
      </w:tr>
    </w:tbl>
    <w:p w14:paraId="74ECE109" w14:textId="31530A78" w:rsidR="007F6C68" w:rsidRDefault="007F6C68" w:rsidP="00061F47">
      <w:pPr>
        <w:rPr>
          <w:lang w:val="en-US"/>
        </w:rPr>
      </w:pPr>
    </w:p>
    <w:p w14:paraId="699187E9" w14:textId="77777777" w:rsidR="00061F47" w:rsidRDefault="00061F47" w:rsidP="00061F47">
      <w:pPr>
        <w:rPr>
          <w:lang w:val="en-US"/>
        </w:rPr>
      </w:pPr>
    </w:p>
    <w:p w14:paraId="21EC7DC9" w14:textId="77777777" w:rsidR="00061F47" w:rsidRDefault="00061F47" w:rsidP="00061F47">
      <w:pPr>
        <w:rPr>
          <w:lang w:val="en-US"/>
        </w:rPr>
      </w:pPr>
    </w:p>
    <w:sectPr w:rsidR="00061F47" w:rsidSect="00061F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47"/>
    <w:rsid w:val="00061F47"/>
    <w:rsid w:val="00547C93"/>
    <w:rsid w:val="007E71DF"/>
    <w:rsid w:val="007F6C68"/>
    <w:rsid w:val="00862B70"/>
    <w:rsid w:val="00936654"/>
    <w:rsid w:val="00C93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B92A"/>
  <w15:chartTrackingRefBased/>
  <w15:docId w15:val="{E674C9E0-C77E-47C4-93A1-2E623647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47"/>
    <w:rPr>
      <w:rFonts w:eastAsiaTheme="majorEastAsia" w:cstheme="majorBidi"/>
      <w:color w:val="272727" w:themeColor="text1" w:themeTint="D8"/>
    </w:rPr>
  </w:style>
  <w:style w:type="paragraph" w:styleId="Title">
    <w:name w:val="Title"/>
    <w:basedOn w:val="Normal"/>
    <w:next w:val="Normal"/>
    <w:link w:val="TitleChar"/>
    <w:uiPriority w:val="10"/>
    <w:qFormat/>
    <w:rsid w:val="00061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47"/>
    <w:pPr>
      <w:spacing w:before="160"/>
      <w:jc w:val="center"/>
    </w:pPr>
    <w:rPr>
      <w:i/>
      <w:iCs/>
      <w:color w:val="404040" w:themeColor="text1" w:themeTint="BF"/>
    </w:rPr>
  </w:style>
  <w:style w:type="character" w:customStyle="1" w:styleId="QuoteChar">
    <w:name w:val="Quote Char"/>
    <w:basedOn w:val="DefaultParagraphFont"/>
    <w:link w:val="Quote"/>
    <w:uiPriority w:val="29"/>
    <w:rsid w:val="00061F47"/>
    <w:rPr>
      <w:i/>
      <w:iCs/>
      <w:color w:val="404040" w:themeColor="text1" w:themeTint="BF"/>
    </w:rPr>
  </w:style>
  <w:style w:type="paragraph" w:styleId="ListParagraph">
    <w:name w:val="List Paragraph"/>
    <w:basedOn w:val="Normal"/>
    <w:uiPriority w:val="34"/>
    <w:qFormat/>
    <w:rsid w:val="00061F47"/>
    <w:pPr>
      <w:ind w:left="720"/>
      <w:contextualSpacing/>
    </w:pPr>
  </w:style>
  <w:style w:type="character" w:styleId="IntenseEmphasis">
    <w:name w:val="Intense Emphasis"/>
    <w:basedOn w:val="DefaultParagraphFont"/>
    <w:uiPriority w:val="21"/>
    <w:qFormat/>
    <w:rsid w:val="00061F47"/>
    <w:rPr>
      <w:i/>
      <w:iCs/>
      <w:color w:val="0F4761" w:themeColor="accent1" w:themeShade="BF"/>
    </w:rPr>
  </w:style>
  <w:style w:type="paragraph" w:styleId="IntenseQuote">
    <w:name w:val="Intense Quote"/>
    <w:basedOn w:val="Normal"/>
    <w:next w:val="Normal"/>
    <w:link w:val="IntenseQuoteChar"/>
    <w:uiPriority w:val="30"/>
    <w:qFormat/>
    <w:rsid w:val="00061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F47"/>
    <w:rPr>
      <w:i/>
      <w:iCs/>
      <w:color w:val="0F4761" w:themeColor="accent1" w:themeShade="BF"/>
    </w:rPr>
  </w:style>
  <w:style w:type="character" w:styleId="IntenseReference">
    <w:name w:val="Intense Reference"/>
    <w:basedOn w:val="DefaultParagraphFont"/>
    <w:uiPriority w:val="32"/>
    <w:qFormat/>
    <w:rsid w:val="00061F47"/>
    <w:rPr>
      <w:b/>
      <w:bCs/>
      <w:smallCaps/>
      <w:color w:val="0F4761" w:themeColor="accent1" w:themeShade="BF"/>
      <w:spacing w:val="5"/>
    </w:rPr>
  </w:style>
  <w:style w:type="table" w:styleId="TableGrid">
    <w:name w:val="Table Grid"/>
    <w:basedOn w:val="TableNormal"/>
    <w:uiPriority w:val="39"/>
    <w:rsid w:val="0006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2996-59C8-4BE9-B52F-082F84E4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Graeme</dc:creator>
  <cp:keywords/>
  <dc:description/>
  <cp:lastModifiedBy>Stevenson, Graeme</cp:lastModifiedBy>
  <cp:revision>1</cp:revision>
  <dcterms:created xsi:type="dcterms:W3CDTF">2025-09-01T10:33:00Z</dcterms:created>
  <dcterms:modified xsi:type="dcterms:W3CDTF">2025-09-01T10:45:00Z</dcterms:modified>
</cp:coreProperties>
</file>