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2.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1.xml" ContentType="application/vnd.openxmlformats-officedocument.wordprocessingml.footer+xml"/>
  <Override PartName="/word/charts/chart13.xml" ContentType="application/vnd.openxmlformats-officedocument.drawingml.chart+xml"/>
  <Override PartName="/word/theme/themeOverride3.xml" ContentType="application/vnd.openxmlformats-officedocument.themeOverride+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664" w:rsidRPr="00EE4664" w:rsidRDefault="00EE4664" w:rsidP="00EE4664">
      <w:pPr>
        <w:spacing w:line="240" w:lineRule="auto"/>
        <w:jc w:val="right"/>
        <w:rPr>
          <w:rFonts w:eastAsia="Times New Roman" w:cs="Arial"/>
          <w:sz w:val="76"/>
          <w:szCs w:val="72"/>
          <w:lang w:val="en-US"/>
        </w:rPr>
      </w:pPr>
      <w:bookmarkStart w:id="0" w:name="_Toc315091245"/>
      <w:bookmarkStart w:id="1" w:name="_GoBack"/>
      <w:bookmarkEnd w:id="1"/>
      <w:r w:rsidRPr="00EE4664">
        <w:rPr>
          <w:rFonts w:ascii="Calibri" w:eastAsia="Calibri" w:hAnsi="Calibri" w:cs="Times New Roman"/>
          <w:noProof/>
          <w:lang w:eastAsia="en-GB"/>
        </w:rPr>
        <w:drawing>
          <wp:inline distT="0" distB="0" distL="0" distR="0" wp14:anchorId="4FAA7D40" wp14:editId="5A93EEFE">
            <wp:extent cx="952500" cy="1212704"/>
            <wp:effectExtent l="19050" t="0" r="0" b="0"/>
            <wp:docPr id="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srcRect/>
                    <a:stretch>
                      <a:fillRect/>
                    </a:stretch>
                  </pic:blipFill>
                  <pic:spPr bwMode="auto">
                    <a:xfrm>
                      <a:off x="0" y="0"/>
                      <a:ext cx="953614" cy="1214122"/>
                    </a:xfrm>
                    <a:prstGeom prst="rect">
                      <a:avLst/>
                    </a:prstGeom>
                    <a:noFill/>
                    <a:ln w="9525">
                      <a:noFill/>
                      <a:miter lim="800000"/>
                      <a:headEnd/>
                      <a:tailEnd/>
                    </a:ln>
                  </pic:spPr>
                </pic:pic>
              </a:graphicData>
            </a:graphic>
          </wp:inline>
        </w:drawing>
      </w:r>
    </w:p>
    <w:p w:rsidR="00EE4664" w:rsidRPr="00EB185B" w:rsidRDefault="00EE4664" w:rsidP="00EE4664">
      <w:pPr>
        <w:spacing w:line="240" w:lineRule="auto"/>
        <w:rPr>
          <w:rFonts w:eastAsia="Times New Roman" w:cs="Arial"/>
          <w:sz w:val="76"/>
          <w:szCs w:val="72"/>
          <w:u w:val="single"/>
          <w:lang w:val="en-US"/>
        </w:rPr>
      </w:pPr>
    </w:p>
    <w:p w:rsidR="008356A0" w:rsidRDefault="008356A0" w:rsidP="00EE4664">
      <w:pPr>
        <w:spacing w:line="240" w:lineRule="auto"/>
        <w:rPr>
          <w:rFonts w:eastAsia="Times New Roman" w:cs="Arial"/>
          <w:sz w:val="32"/>
          <w:szCs w:val="32"/>
          <w:u w:val="single"/>
          <w:lang w:val="en-US"/>
        </w:rPr>
      </w:pPr>
    </w:p>
    <w:p w:rsidR="00EE4664" w:rsidRPr="00EE4664" w:rsidRDefault="00EE4664" w:rsidP="00EE4664">
      <w:pPr>
        <w:spacing w:line="240" w:lineRule="auto"/>
        <w:rPr>
          <w:rFonts w:ascii="Cambria" w:eastAsia="Times New Roman" w:hAnsi="Cambria" w:cs="Times New Roman"/>
          <w:sz w:val="76"/>
          <w:szCs w:val="72"/>
          <w:lang w:val="en-US"/>
        </w:rPr>
      </w:pPr>
      <w:r w:rsidRPr="00EE4664">
        <w:rPr>
          <w:rFonts w:eastAsia="Times New Roman" w:cs="Arial"/>
          <w:sz w:val="76"/>
          <w:szCs w:val="72"/>
          <w:lang w:val="en-US"/>
        </w:rPr>
        <w:t>Regularly Funded</w:t>
      </w:r>
    </w:p>
    <w:p w:rsidR="00EE4664" w:rsidRPr="00EE4664" w:rsidRDefault="00EE4664" w:rsidP="00EE4664">
      <w:pPr>
        <w:spacing w:line="240" w:lineRule="auto"/>
        <w:rPr>
          <w:rFonts w:eastAsia="Times New Roman" w:cs="Arial"/>
          <w:sz w:val="76"/>
          <w:szCs w:val="72"/>
          <w:lang w:val="en-US"/>
        </w:rPr>
      </w:pPr>
      <w:r w:rsidRPr="00EE4664">
        <w:rPr>
          <w:rFonts w:eastAsia="Times New Roman" w:cs="Arial"/>
          <w:sz w:val="76"/>
          <w:szCs w:val="72"/>
          <w:lang w:val="en-US"/>
        </w:rPr>
        <w:t>Organisation</w:t>
      </w:r>
      <w:r w:rsidR="00047F84">
        <w:rPr>
          <w:rFonts w:eastAsia="Times New Roman" w:cs="Arial"/>
          <w:sz w:val="76"/>
          <w:szCs w:val="72"/>
          <w:lang w:val="en-US"/>
        </w:rPr>
        <w:t>s</w:t>
      </w:r>
      <w:r w:rsidRPr="00EE4664">
        <w:rPr>
          <w:rFonts w:eastAsia="Times New Roman" w:cs="Arial"/>
          <w:sz w:val="76"/>
          <w:szCs w:val="72"/>
          <w:lang w:val="en-US"/>
        </w:rPr>
        <w:t xml:space="preserve"> Survey</w:t>
      </w:r>
    </w:p>
    <w:p w:rsidR="00EE4664" w:rsidRPr="00EE4664" w:rsidRDefault="00587045" w:rsidP="00EE4664">
      <w:pPr>
        <w:spacing w:line="240" w:lineRule="auto"/>
        <w:rPr>
          <w:rFonts w:eastAsia="Times New Roman" w:cs="Arial"/>
          <w:color w:val="4F81BD"/>
          <w:sz w:val="96"/>
          <w:szCs w:val="96"/>
          <w:lang w:val="en-US"/>
        </w:rPr>
      </w:pPr>
      <w:r>
        <w:rPr>
          <w:rFonts w:eastAsia="Times New Roman" w:cs="Arial"/>
          <w:color w:val="4F81BD"/>
          <w:sz w:val="96"/>
          <w:szCs w:val="96"/>
          <w:lang w:val="en-US"/>
        </w:rPr>
        <w:t>2013/14</w:t>
      </w:r>
      <w:r w:rsidR="00EE4664" w:rsidRPr="00EE4664">
        <w:rPr>
          <w:rFonts w:eastAsia="Times New Roman" w:cs="Arial"/>
          <w:color w:val="4F81BD"/>
          <w:sz w:val="96"/>
          <w:szCs w:val="96"/>
          <w:lang w:val="en-US"/>
        </w:rPr>
        <w:t xml:space="preserve"> </w:t>
      </w:r>
    </w:p>
    <w:p w:rsidR="00EE4664" w:rsidRPr="00EE4664" w:rsidRDefault="00EE4664" w:rsidP="00EE4664">
      <w:pPr>
        <w:spacing w:line="240" w:lineRule="auto"/>
        <w:rPr>
          <w:rFonts w:eastAsia="Times New Roman" w:cs="Arial"/>
          <w:color w:val="4F81BD"/>
          <w:sz w:val="56"/>
          <w:szCs w:val="56"/>
          <w:lang w:val="en-US"/>
        </w:rPr>
      </w:pPr>
    </w:p>
    <w:p w:rsidR="00EE4664" w:rsidRPr="00EE4664" w:rsidRDefault="00587045" w:rsidP="00EE4664">
      <w:pPr>
        <w:spacing w:line="240" w:lineRule="auto"/>
        <w:rPr>
          <w:rFonts w:eastAsia="Times New Roman" w:cs="Arial"/>
          <w:i/>
          <w:sz w:val="36"/>
          <w:szCs w:val="36"/>
          <w:lang w:val="en-US"/>
        </w:rPr>
      </w:pPr>
      <w:r>
        <w:rPr>
          <w:rFonts w:eastAsia="Times New Roman" w:cs="Arial"/>
          <w:i/>
          <w:sz w:val="36"/>
          <w:szCs w:val="36"/>
          <w:lang w:val="en-US"/>
        </w:rPr>
        <w:t>Key data from the 2013/14</w:t>
      </w:r>
      <w:r w:rsidR="00EE4664" w:rsidRPr="00EE4664">
        <w:rPr>
          <w:rFonts w:eastAsia="Times New Roman" w:cs="Arial"/>
          <w:i/>
          <w:sz w:val="36"/>
          <w:szCs w:val="36"/>
          <w:lang w:val="en-US"/>
        </w:rPr>
        <w:t xml:space="preserve"> Regularly Funded Organisation</w:t>
      </w:r>
      <w:r w:rsidR="00047F84">
        <w:rPr>
          <w:rFonts w:eastAsia="Times New Roman" w:cs="Arial"/>
          <w:i/>
          <w:sz w:val="36"/>
          <w:szCs w:val="36"/>
          <w:lang w:val="en-US"/>
        </w:rPr>
        <w:t>s</w:t>
      </w:r>
      <w:r w:rsidR="00EE4664" w:rsidRPr="00EE4664">
        <w:rPr>
          <w:rFonts w:eastAsia="Times New Roman" w:cs="Arial"/>
          <w:i/>
          <w:sz w:val="36"/>
          <w:szCs w:val="36"/>
          <w:lang w:val="en-US"/>
        </w:rPr>
        <w:t xml:space="preserve"> survey</w:t>
      </w:r>
    </w:p>
    <w:p w:rsidR="00EE4664" w:rsidRPr="00EE4664" w:rsidRDefault="00EE4664" w:rsidP="00EE4664">
      <w:pPr>
        <w:spacing w:line="240" w:lineRule="auto"/>
        <w:rPr>
          <w:rFonts w:eastAsia="Times New Roman" w:cs="Arial"/>
          <w:color w:val="4F81BD"/>
          <w:sz w:val="96"/>
          <w:szCs w:val="96"/>
          <w:lang w:val="en-US"/>
        </w:rPr>
      </w:pPr>
    </w:p>
    <w:p w:rsidR="00EE4664" w:rsidRPr="00EE4664" w:rsidRDefault="00EE4664" w:rsidP="00EE4664">
      <w:pPr>
        <w:spacing w:line="240" w:lineRule="auto"/>
        <w:rPr>
          <w:rFonts w:eastAsia="Times New Roman" w:cs="Arial"/>
          <w:lang w:val="en-US"/>
        </w:rPr>
      </w:pPr>
    </w:p>
    <w:p w:rsidR="00EE4664" w:rsidRPr="00EE4664" w:rsidRDefault="00EE4664" w:rsidP="00EE4664">
      <w:pPr>
        <w:spacing w:line="240" w:lineRule="auto"/>
        <w:rPr>
          <w:rFonts w:eastAsia="Times New Roman" w:cs="Arial"/>
          <w:sz w:val="32"/>
          <w:szCs w:val="32"/>
          <w:lang w:val="en-US"/>
        </w:rPr>
      </w:pPr>
    </w:p>
    <w:p w:rsidR="00EE4664" w:rsidRPr="00EE4664" w:rsidRDefault="00EE4664" w:rsidP="00EE4664">
      <w:pPr>
        <w:spacing w:line="240" w:lineRule="auto"/>
        <w:rPr>
          <w:rFonts w:eastAsia="Times New Roman" w:cs="Arial"/>
          <w:sz w:val="32"/>
          <w:szCs w:val="32"/>
          <w:lang w:val="en-US"/>
        </w:rPr>
      </w:pPr>
    </w:p>
    <w:p w:rsidR="00EE4664" w:rsidRPr="00EE4664" w:rsidRDefault="00EE4664" w:rsidP="00EE4664">
      <w:pPr>
        <w:spacing w:line="240" w:lineRule="auto"/>
        <w:rPr>
          <w:rFonts w:eastAsia="Times New Roman" w:cs="Arial"/>
          <w:sz w:val="32"/>
          <w:szCs w:val="32"/>
          <w:lang w:val="en-US"/>
        </w:rPr>
      </w:pPr>
    </w:p>
    <w:p w:rsidR="001E0234" w:rsidRDefault="001E0234" w:rsidP="00EE4664">
      <w:pPr>
        <w:spacing w:line="240" w:lineRule="auto"/>
        <w:rPr>
          <w:rFonts w:eastAsia="Times New Roman" w:cs="Arial"/>
          <w:sz w:val="32"/>
          <w:szCs w:val="32"/>
          <w:lang w:val="en-US"/>
        </w:rPr>
      </w:pPr>
    </w:p>
    <w:p w:rsidR="00216B68" w:rsidRDefault="00216B68" w:rsidP="00EE4664">
      <w:pPr>
        <w:spacing w:line="240" w:lineRule="auto"/>
        <w:rPr>
          <w:rFonts w:eastAsia="Times New Roman" w:cs="Arial"/>
          <w:sz w:val="32"/>
          <w:szCs w:val="32"/>
          <w:lang w:val="en-US"/>
        </w:rPr>
      </w:pPr>
    </w:p>
    <w:p w:rsidR="00216B68" w:rsidRDefault="00216B68" w:rsidP="00EE4664">
      <w:pPr>
        <w:spacing w:line="240" w:lineRule="auto"/>
        <w:rPr>
          <w:rFonts w:eastAsia="Times New Roman" w:cs="Arial"/>
          <w:sz w:val="32"/>
          <w:szCs w:val="32"/>
          <w:lang w:val="en-US"/>
        </w:rPr>
      </w:pPr>
    </w:p>
    <w:p w:rsidR="00216B68" w:rsidRDefault="00216B68" w:rsidP="00EE4664">
      <w:pPr>
        <w:spacing w:line="240" w:lineRule="auto"/>
        <w:rPr>
          <w:rFonts w:eastAsia="Times New Roman" w:cs="Arial"/>
          <w:sz w:val="32"/>
          <w:szCs w:val="32"/>
          <w:lang w:val="en-US"/>
        </w:rPr>
      </w:pPr>
    </w:p>
    <w:p w:rsidR="00216B68" w:rsidRDefault="00216B68" w:rsidP="00EE4664">
      <w:pPr>
        <w:spacing w:line="240" w:lineRule="auto"/>
        <w:rPr>
          <w:rFonts w:eastAsia="Times New Roman" w:cs="Arial"/>
          <w:sz w:val="32"/>
          <w:szCs w:val="32"/>
          <w:lang w:val="en-US"/>
        </w:rPr>
      </w:pPr>
    </w:p>
    <w:p w:rsidR="00216B68" w:rsidRDefault="00216B68" w:rsidP="00EE4664">
      <w:pPr>
        <w:spacing w:line="240" w:lineRule="auto"/>
        <w:rPr>
          <w:rFonts w:eastAsia="Times New Roman" w:cs="Arial"/>
          <w:sz w:val="32"/>
          <w:szCs w:val="32"/>
          <w:lang w:val="en-US"/>
        </w:rPr>
      </w:pPr>
    </w:p>
    <w:p w:rsidR="00216B68" w:rsidRDefault="00216B68" w:rsidP="00EE4664">
      <w:pPr>
        <w:spacing w:line="240" w:lineRule="auto"/>
        <w:rPr>
          <w:rFonts w:eastAsia="Times New Roman" w:cs="Arial"/>
          <w:sz w:val="32"/>
          <w:szCs w:val="32"/>
          <w:lang w:val="en-US"/>
        </w:rPr>
      </w:pPr>
    </w:p>
    <w:p w:rsidR="00216B68" w:rsidRDefault="00216B68" w:rsidP="00EE4664">
      <w:pPr>
        <w:spacing w:line="240" w:lineRule="auto"/>
        <w:rPr>
          <w:rFonts w:eastAsia="Times New Roman" w:cs="Arial"/>
          <w:sz w:val="32"/>
          <w:szCs w:val="32"/>
          <w:lang w:val="en-US"/>
        </w:rPr>
      </w:pPr>
    </w:p>
    <w:p w:rsidR="00EE4664" w:rsidRDefault="00EE4664" w:rsidP="00EE4664">
      <w:pPr>
        <w:spacing w:line="240" w:lineRule="auto"/>
        <w:rPr>
          <w:rFonts w:eastAsia="Times New Roman" w:cs="Arial"/>
          <w:sz w:val="32"/>
          <w:szCs w:val="32"/>
          <w:lang w:val="en-US"/>
        </w:rPr>
      </w:pPr>
      <w:r w:rsidRPr="00EE4664">
        <w:rPr>
          <w:rFonts w:eastAsia="Times New Roman" w:cs="Arial"/>
          <w:sz w:val="32"/>
          <w:szCs w:val="32"/>
          <w:lang w:val="en-US"/>
        </w:rPr>
        <w:t>Strategic Development Department</w:t>
      </w:r>
    </w:p>
    <w:p w:rsidR="00EE4664" w:rsidRDefault="003027F9" w:rsidP="00EE4664">
      <w:pPr>
        <w:spacing w:line="240" w:lineRule="auto"/>
        <w:rPr>
          <w:rFonts w:eastAsia="Times New Roman" w:cs="Arial"/>
          <w:sz w:val="32"/>
          <w:szCs w:val="32"/>
          <w:lang w:val="en-US"/>
        </w:rPr>
      </w:pPr>
      <w:r>
        <w:rPr>
          <w:rFonts w:eastAsia="Times New Roman" w:cs="Arial"/>
          <w:sz w:val="32"/>
          <w:szCs w:val="32"/>
          <w:lang w:val="en-US"/>
        </w:rPr>
        <w:t>December</w:t>
      </w:r>
      <w:r w:rsidR="00587045">
        <w:rPr>
          <w:rFonts w:eastAsia="Times New Roman" w:cs="Arial"/>
          <w:sz w:val="32"/>
          <w:szCs w:val="32"/>
          <w:lang w:val="en-US"/>
        </w:rPr>
        <w:t xml:space="preserve"> 2014</w:t>
      </w:r>
    </w:p>
    <w:p w:rsidR="00EE4664" w:rsidRDefault="00AD6FC6" w:rsidP="008F42C2">
      <w:pPr>
        <w:spacing w:after="200"/>
        <w:rPr>
          <w:rFonts w:eastAsia="Times New Roman" w:cs="Arial"/>
          <w:sz w:val="32"/>
          <w:szCs w:val="32"/>
          <w:lang w:val="en-US"/>
        </w:rPr>
      </w:pPr>
      <w:r>
        <w:rPr>
          <w:rFonts w:eastAsia="Times New Roman" w:cs="Arial"/>
          <w:sz w:val="32"/>
          <w:szCs w:val="32"/>
          <w:lang w:val="en-US"/>
        </w:rPr>
        <w:lastRenderedPageBreak/>
        <w:t>Contents</w:t>
      </w:r>
    </w:p>
    <w:p w:rsidR="00AF20A9" w:rsidRDefault="00AF20A9" w:rsidP="00EE4664">
      <w:pPr>
        <w:spacing w:line="240" w:lineRule="auto"/>
        <w:rPr>
          <w:rFonts w:eastAsia="Times New Roman" w:cs="Arial"/>
          <w:sz w:val="32"/>
          <w:szCs w:val="32"/>
          <w:lang w:val="en-US"/>
        </w:rPr>
      </w:pPr>
    </w:p>
    <w:sdt>
      <w:sdtPr>
        <w:rPr>
          <w:rFonts w:asciiTheme="majorHAnsi" w:eastAsiaTheme="majorEastAsia" w:hAnsiTheme="majorHAnsi" w:cstheme="majorBidi"/>
          <w:b/>
          <w:bCs/>
          <w:color w:val="365F91" w:themeColor="accent1" w:themeShade="BF"/>
          <w:sz w:val="28"/>
          <w:szCs w:val="28"/>
          <w:lang w:val="en-US" w:eastAsia="ja-JP"/>
        </w:rPr>
        <w:id w:val="1764796486"/>
        <w:docPartObj>
          <w:docPartGallery w:val="Table of Contents"/>
          <w:docPartUnique/>
        </w:docPartObj>
      </w:sdtPr>
      <w:sdtEndPr>
        <w:rPr>
          <w:rFonts w:ascii="Arial" w:eastAsiaTheme="minorHAnsi" w:hAnsi="Arial" w:cstheme="minorBidi"/>
          <w:noProof/>
          <w:color w:val="auto"/>
          <w:sz w:val="22"/>
          <w:szCs w:val="22"/>
          <w:lang w:val="en-GB" w:eastAsia="en-US"/>
        </w:rPr>
      </w:sdtEndPr>
      <w:sdtContent>
        <w:p w:rsidR="00BC463F" w:rsidRDefault="00AF20A9">
          <w:pPr>
            <w:pStyle w:val="TOC1"/>
            <w:tabs>
              <w:tab w:val="left" w:pos="440"/>
              <w:tab w:val="right" w:leader="dot" w:pos="8898"/>
            </w:tabs>
            <w:rPr>
              <w:rFonts w:asciiTheme="minorHAnsi" w:eastAsiaTheme="minorEastAsia" w:hAnsiTheme="minorHAnsi"/>
              <w:noProof/>
              <w:lang w:eastAsia="en-GB"/>
            </w:rPr>
          </w:pPr>
          <w:r>
            <w:fldChar w:fldCharType="begin"/>
          </w:r>
          <w:r>
            <w:instrText xml:space="preserve"> TOC \o "1-3" \h \z \u </w:instrText>
          </w:r>
          <w:r>
            <w:fldChar w:fldCharType="separate"/>
          </w:r>
          <w:hyperlink w:anchor="_Toc403986342" w:history="1">
            <w:r w:rsidR="00BC463F" w:rsidRPr="00B0043F">
              <w:rPr>
                <w:rStyle w:val="Hyperlink"/>
                <w:rFonts w:eastAsia="Times New Roman"/>
                <w:noProof/>
                <w:lang w:val="en-US"/>
              </w:rPr>
              <w:t>1.</w:t>
            </w:r>
            <w:r w:rsidR="00BC463F">
              <w:rPr>
                <w:rFonts w:asciiTheme="minorHAnsi" w:eastAsiaTheme="minorEastAsia" w:hAnsiTheme="minorHAnsi"/>
                <w:noProof/>
                <w:lang w:eastAsia="en-GB"/>
              </w:rPr>
              <w:tab/>
            </w:r>
            <w:r w:rsidR="00BC463F" w:rsidRPr="00B0043F">
              <w:rPr>
                <w:rStyle w:val="Hyperlink"/>
                <w:rFonts w:eastAsia="Times New Roman"/>
                <w:noProof/>
                <w:lang w:val="en-US"/>
              </w:rPr>
              <w:t>Introduction</w:t>
            </w:r>
            <w:r w:rsidR="00BC463F">
              <w:rPr>
                <w:noProof/>
                <w:webHidden/>
              </w:rPr>
              <w:tab/>
            </w:r>
            <w:r w:rsidR="00BC463F">
              <w:rPr>
                <w:noProof/>
                <w:webHidden/>
              </w:rPr>
              <w:fldChar w:fldCharType="begin"/>
            </w:r>
            <w:r w:rsidR="00BC463F">
              <w:rPr>
                <w:noProof/>
                <w:webHidden/>
              </w:rPr>
              <w:instrText xml:space="preserve"> PAGEREF _Toc403986342 \h </w:instrText>
            </w:r>
            <w:r w:rsidR="00BC463F">
              <w:rPr>
                <w:noProof/>
                <w:webHidden/>
              </w:rPr>
            </w:r>
            <w:r w:rsidR="00BC463F">
              <w:rPr>
                <w:noProof/>
                <w:webHidden/>
              </w:rPr>
              <w:fldChar w:fldCharType="separate"/>
            </w:r>
            <w:r w:rsidR="00875985">
              <w:rPr>
                <w:noProof/>
                <w:webHidden/>
              </w:rPr>
              <w:t>5</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43" w:history="1">
            <w:r w:rsidR="00BC463F" w:rsidRPr="00B0043F">
              <w:rPr>
                <w:rStyle w:val="Hyperlink"/>
                <w:noProof/>
                <w:lang w:val="en-US"/>
              </w:rPr>
              <w:t>1.1</w:t>
            </w:r>
            <w:r w:rsidR="00BC463F">
              <w:rPr>
                <w:rFonts w:asciiTheme="minorHAnsi" w:eastAsiaTheme="minorEastAsia" w:hAnsiTheme="minorHAnsi"/>
                <w:noProof/>
                <w:lang w:eastAsia="en-GB"/>
              </w:rPr>
              <w:tab/>
            </w:r>
            <w:r w:rsidR="00BC463F" w:rsidRPr="00B0043F">
              <w:rPr>
                <w:rStyle w:val="Hyperlink"/>
                <w:noProof/>
                <w:lang w:val="en-US"/>
              </w:rPr>
              <w:t>Data verification</w:t>
            </w:r>
            <w:r w:rsidR="00BC463F">
              <w:rPr>
                <w:noProof/>
                <w:webHidden/>
              </w:rPr>
              <w:tab/>
            </w:r>
            <w:r w:rsidR="00BC463F">
              <w:rPr>
                <w:noProof/>
                <w:webHidden/>
              </w:rPr>
              <w:fldChar w:fldCharType="begin"/>
            </w:r>
            <w:r w:rsidR="00BC463F">
              <w:rPr>
                <w:noProof/>
                <w:webHidden/>
              </w:rPr>
              <w:instrText xml:space="preserve"> PAGEREF _Toc403986343 \h </w:instrText>
            </w:r>
            <w:r w:rsidR="00BC463F">
              <w:rPr>
                <w:noProof/>
                <w:webHidden/>
              </w:rPr>
            </w:r>
            <w:r w:rsidR="00BC463F">
              <w:rPr>
                <w:noProof/>
                <w:webHidden/>
              </w:rPr>
              <w:fldChar w:fldCharType="separate"/>
            </w:r>
            <w:r w:rsidR="00875985">
              <w:rPr>
                <w:noProof/>
                <w:webHidden/>
              </w:rPr>
              <w:t>5</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44" w:history="1">
            <w:r w:rsidR="00BC463F" w:rsidRPr="00B0043F">
              <w:rPr>
                <w:rStyle w:val="Hyperlink"/>
                <w:noProof/>
                <w:lang w:val="en-US"/>
              </w:rPr>
              <w:t>1.2</w:t>
            </w:r>
            <w:r w:rsidR="00BC463F">
              <w:rPr>
                <w:rFonts w:asciiTheme="minorHAnsi" w:eastAsiaTheme="minorEastAsia" w:hAnsiTheme="minorHAnsi"/>
                <w:noProof/>
                <w:lang w:eastAsia="en-GB"/>
              </w:rPr>
              <w:tab/>
            </w:r>
            <w:r w:rsidR="00BC463F" w:rsidRPr="00B0043F">
              <w:rPr>
                <w:rStyle w:val="Hyperlink"/>
                <w:noProof/>
                <w:lang w:val="en-US"/>
              </w:rPr>
              <w:t>Organisations by artform</w:t>
            </w:r>
            <w:r w:rsidR="00BC463F">
              <w:rPr>
                <w:noProof/>
                <w:webHidden/>
              </w:rPr>
              <w:tab/>
            </w:r>
            <w:r w:rsidR="00BC463F">
              <w:rPr>
                <w:noProof/>
                <w:webHidden/>
              </w:rPr>
              <w:fldChar w:fldCharType="begin"/>
            </w:r>
            <w:r w:rsidR="00BC463F">
              <w:rPr>
                <w:noProof/>
                <w:webHidden/>
              </w:rPr>
              <w:instrText xml:space="preserve"> PAGEREF _Toc403986344 \h </w:instrText>
            </w:r>
            <w:r w:rsidR="00BC463F">
              <w:rPr>
                <w:noProof/>
                <w:webHidden/>
              </w:rPr>
            </w:r>
            <w:r w:rsidR="00BC463F">
              <w:rPr>
                <w:noProof/>
                <w:webHidden/>
              </w:rPr>
              <w:fldChar w:fldCharType="separate"/>
            </w:r>
            <w:r w:rsidR="00875985">
              <w:rPr>
                <w:noProof/>
                <w:webHidden/>
              </w:rPr>
              <w:t>6</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45" w:history="1">
            <w:r w:rsidR="00BC463F" w:rsidRPr="00B0043F">
              <w:rPr>
                <w:rStyle w:val="Hyperlink"/>
                <w:noProof/>
                <w:lang w:val="en-US"/>
              </w:rPr>
              <w:t>2.</w:t>
            </w:r>
            <w:r w:rsidR="00BC463F">
              <w:rPr>
                <w:rFonts w:asciiTheme="minorHAnsi" w:eastAsiaTheme="minorEastAsia" w:hAnsiTheme="minorHAnsi"/>
                <w:noProof/>
                <w:lang w:eastAsia="en-GB"/>
              </w:rPr>
              <w:tab/>
            </w:r>
            <w:r w:rsidR="00BC463F" w:rsidRPr="00B0043F">
              <w:rPr>
                <w:rStyle w:val="Hyperlink"/>
                <w:noProof/>
                <w:lang w:val="en-US"/>
              </w:rPr>
              <w:t>Staffing</w:t>
            </w:r>
            <w:r w:rsidR="00BC463F">
              <w:rPr>
                <w:noProof/>
                <w:webHidden/>
              </w:rPr>
              <w:tab/>
            </w:r>
            <w:r w:rsidR="00BC463F">
              <w:rPr>
                <w:noProof/>
                <w:webHidden/>
              </w:rPr>
              <w:fldChar w:fldCharType="begin"/>
            </w:r>
            <w:r w:rsidR="00BC463F">
              <w:rPr>
                <w:noProof/>
                <w:webHidden/>
              </w:rPr>
              <w:instrText xml:space="preserve"> PAGEREF _Toc403986345 \h </w:instrText>
            </w:r>
            <w:r w:rsidR="00BC463F">
              <w:rPr>
                <w:noProof/>
                <w:webHidden/>
              </w:rPr>
            </w:r>
            <w:r w:rsidR="00BC463F">
              <w:rPr>
                <w:noProof/>
                <w:webHidden/>
              </w:rPr>
              <w:fldChar w:fldCharType="separate"/>
            </w:r>
            <w:r w:rsidR="00875985">
              <w:rPr>
                <w:noProof/>
                <w:webHidden/>
              </w:rPr>
              <w:t>7</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46" w:history="1">
            <w:r w:rsidR="00BC463F" w:rsidRPr="00B0043F">
              <w:rPr>
                <w:rStyle w:val="Hyperlink"/>
                <w:noProof/>
                <w:lang w:val="en-US"/>
              </w:rPr>
              <w:t>3.</w:t>
            </w:r>
            <w:r w:rsidR="00BC463F">
              <w:rPr>
                <w:rFonts w:asciiTheme="minorHAnsi" w:eastAsiaTheme="minorEastAsia" w:hAnsiTheme="minorHAnsi"/>
                <w:noProof/>
                <w:lang w:eastAsia="en-GB"/>
              </w:rPr>
              <w:tab/>
            </w:r>
            <w:r w:rsidR="00BC463F" w:rsidRPr="00B0043F">
              <w:rPr>
                <w:rStyle w:val="Hyperlink"/>
                <w:noProof/>
                <w:lang w:val="en-US"/>
              </w:rPr>
              <w:t>Finance</w:t>
            </w:r>
            <w:r w:rsidR="00BC463F">
              <w:rPr>
                <w:noProof/>
                <w:webHidden/>
              </w:rPr>
              <w:tab/>
            </w:r>
            <w:r w:rsidR="00BC463F">
              <w:rPr>
                <w:noProof/>
                <w:webHidden/>
              </w:rPr>
              <w:fldChar w:fldCharType="begin"/>
            </w:r>
            <w:r w:rsidR="00BC463F">
              <w:rPr>
                <w:noProof/>
                <w:webHidden/>
              </w:rPr>
              <w:instrText xml:space="preserve"> PAGEREF _Toc403986346 \h </w:instrText>
            </w:r>
            <w:r w:rsidR="00BC463F">
              <w:rPr>
                <w:noProof/>
                <w:webHidden/>
              </w:rPr>
            </w:r>
            <w:r w:rsidR="00BC463F">
              <w:rPr>
                <w:noProof/>
                <w:webHidden/>
              </w:rPr>
              <w:fldChar w:fldCharType="separate"/>
            </w:r>
            <w:r w:rsidR="00875985">
              <w:rPr>
                <w:noProof/>
                <w:webHidden/>
              </w:rPr>
              <w:t>9</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47" w:history="1">
            <w:r w:rsidR="00BC463F" w:rsidRPr="00B0043F">
              <w:rPr>
                <w:rStyle w:val="Hyperlink"/>
                <w:noProof/>
              </w:rPr>
              <w:t>3.1</w:t>
            </w:r>
            <w:r w:rsidR="00BC463F">
              <w:rPr>
                <w:rFonts w:asciiTheme="minorHAnsi" w:eastAsiaTheme="minorEastAsia" w:hAnsiTheme="minorHAnsi"/>
                <w:noProof/>
                <w:lang w:eastAsia="en-GB"/>
              </w:rPr>
              <w:tab/>
            </w:r>
            <w:r w:rsidR="00BC463F" w:rsidRPr="00B0043F">
              <w:rPr>
                <w:rStyle w:val="Hyperlink"/>
                <w:noProof/>
              </w:rPr>
              <w:t>Income</w:t>
            </w:r>
            <w:r w:rsidR="00BC463F">
              <w:rPr>
                <w:noProof/>
                <w:webHidden/>
              </w:rPr>
              <w:tab/>
            </w:r>
            <w:r w:rsidR="00BC463F">
              <w:rPr>
                <w:noProof/>
                <w:webHidden/>
              </w:rPr>
              <w:fldChar w:fldCharType="begin"/>
            </w:r>
            <w:r w:rsidR="00BC463F">
              <w:rPr>
                <w:noProof/>
                <w:webHidden/>
              </w:rPr>
              <w:instrText xml:space="preserve"> PAGEREF _Toc403986347 \h </w:instrText>
            </w:r>
            <w:r w:rsidR="00BC463F">
              <w:rPr>
                <w:noProof/>
                <w:webHidden/>
              </w:rPr>
            </w:r>
            <w:r w:rsidR="00BC463F">
              <w:rPr>
                <w:noProof/>
                <w:webHidden/>
              </w:rPr>
              <w:fldChar w:fldCharType="separate"/>
            </w:r>
            <w:r w:rsidR="00875985">
              <w:rPr>
                <w:noProof/>
                <w:webHidden/>
              </w:rPr>
              <w:t>9</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48" w:history="1">
            <w:r w:rsidR="00BC463F" w:rsidRPr="00B0043F">
              <w:rPr>
                <w:rStyle w:val="Hyperlink"/>
                <w:noProof/>
              </w:rPr>
              <w:t>3.2</w:t>
            </w:r>
            <w:r w:rsidR="00BC463F">
              <w:rPr>
                <w:rFonts w:asciiTheme="minorHAnsi" w:eastAsiaTheme="minorEastAsia" w:hAnsiTheme="minorHAnsi"/>
                <w:noProof/>
                <w:lang w:eastAsia="en-GB"/>
              </w:rPr>
              <w:tab/>
            </w:r>
            <w:r w:rsidR="00BC463F" w:rsidRPr="00B0043F">
              <w:rPr>
                <w:rStyle w:val="Hyperlink"/>
                <w:noProof/>
              </w:rPr>
              <w:t>Income changes since 2012/13</w:t>
            </w:r>
            <w:r w:rsidR="00BC463F">
              <w:rPr>
                <w:noProof/>
                <w:webHidden/>
              </w:rPr>
              <w:tab/>
            </w:r>
            <w:r w:rsidR="00BC463F">
              <w:rPr>
                <w:noProof/>
                <w:webHidden/>
              </w:rPr>
              <w:fldChar w:fldCharType="begin"/>
            </w:r>
            <w:r w:rsidR="00BC463F">
              <w:rPr>
                <w:noProof/>
                <w:webHidden/>
              </w:rPr>
              <w:instrText xml:space="preserve"> PAGEREF _Toc403986348 \h </w:instrText>
            </w:r>
            <w:r w:rsidR="00BC463F">
              <w:rPr>
                <w:noProof/>
                <w:webHidden/>
              </w:rPr>
            </w:r>
            <w:r w:rsidR="00BC463F">
              <w:rPr>
                <w:noProof/>
                <w:webHidden/>
              </w:rPr>
              <w:fldChar w:fldCharType="separate"/>
            </w:r>
            <w:r w:rsidR="00875985">
              <w:rPr>
                <w:noProof/>
                <w:webHidden/>
              </w:rPr>
              <w:t>10</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49" w:history="1">
            <w:r w:rsidR="00BC463F" w:rsidRPr="00B0043F">
              <w:rPr>
                <w:rStyle w:val="Hyperlink"/>
                <w:noProof/>
              </w:rPr>
              <w:t>3.3</w:t>
            </w:r>
            <w:r w:rsidR="00BC463F">
              <w:rPr>
                <w:rFonts w:asciiTheme="minorHAnsi" w:eastAsiaTheme="minorEastAsia" w:hAnsiTheme="minorHAnsi"/>
                <w:noProof/>
                <w:lang w:eastAsia="en-GB"/>
              </w:rPr>
              <w:tab/>
            </w:r>
            <w:r w:rsidR="00BC463F" w:rsidRPr="00B0043F">
              <w:rPr>
                <w:rStyle w:val="Hyperlink"/>
                <w:noProof/>
              </w:rPr>
              <w:t>Expenditure</w:t>
            </w:r>
            <w:r w:rsidR="00BC463F">
              <w:rPr>
                <w:noProof/>
                <w:webHidden/>
              </w:rPr>
              <w:tab/>
            </w:r>
            <w:r w:rsidR="00BC463F">
              <w:rPr>
                <w:noProof/>
                <w:webHidden/>
              </w:rPr>
              <w:fldChar w:fldCharType="begin"/>
            </w:r>
            <w:r w:rsidR="00BC463F">
              <w:rPr>
                <w:noProof/>
                <w:webHidden/>
              </w:rPr>
              <w:instrText xml:space="preserve"> PAGEREF _Toc403986349 \h </w:instrText>
            </w:r>
            <w:r w:rsidR="00BC463F">
              <w:rPr>
                <w:noProof/>
                <w:webHidden/>
              </w:rPr>
            </w:r>
            <w:r w:rsidR="00BC463F">
              <w:rPr>
                <w:noProof/>
                <w:webHidden/>
              </w:rPr>
              <w:fldChar w:fldCharType="separate"/>
            </w:r>
            <w:r w:rsidR="00875985">
              <w:rPr>
                <w:noProof/>
                <w:webHidden/>
              </w:rPr>
              <w:t>11</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50" w:history="1">
            <w:r w:rsidR="00BC463F" w:rsidRPr="00B0043F">
              <w:rPr>
                <w:rStyle w:val="Hyperlink"/>
                <w:noProof/>
              </w:rPr>
              <w:t>3.4</w:t>
            </w:r>
            <w:r w:rsidR="00BC463F">
              <w:rPr>
                <w:rFonts w:asciiTheme="minorHAnsi" w:eastAsiaTheme="minorEastAsia" w:hAnsiTheme="minorHAnsi"/>
                <w:noProof/>
                <w:lang w:eastAsia="en-GB"/>
              </w:rPr>
              <w:tab/>
            </w:r>
            <w:r w:rsidR="00BC463F" w:rsidRPr="00B0043F">
              <w:rPr>
                <w:rStyle w:val="Hyperlink"/>
                <w:noProof/>
              </w:rPr>
              <w:t>Expenditure changes since 2012/13</w:t>
            </w:r>
            <w:r w:rsidR="00BC463F">
              <w:rPr>
                <w:noProof/>
                <w:webHidden/>
              </w:rPr>
              <w:tab/>
            </w:r>
            <w:r w:rsidR="00BC463F">
              <w:rPr>
                <w:noProof/>
                <w:webHidden/>
              </w:rPr>
              <w:fldChar w:fldCharType="begin"/>
            </w:r>
            <w:r w:rsidR="00BC463F">
              <w:rPr>
                <w:noProof/>
                <w:webHidden/>
              </w:rPr>
              <w:instrText xml:space="preserve"> PAGEREF _Toc403986350 \h </w:instrText>
            </w:r>
            <w:r w:rsidR="00BC463F">
              <w:rPr>
                <w:noProof/>
                <w:webHidden/>
              </w:rPr>
            </w:r>
            <w:r w:rsidR="00BC463F">
              <w:rPr>
                <w:noProof/>
                <w:webHidden/>
              </w:rPr>
              <w:fldChar w:fldCharType="separate"/>
            </w:r>
            <w:r w:rsidR="00875985">
              <w:rPr>
                <w:noProof/>
                <w:webHidden/>
              </w:rPr>
              <w:t>12</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51" w:history="1">
            <w:r w:rsidR="00BC463F" w:rsidRPr="00F41FC4">
              <w:rPr>
                <w:rStyle w:val="Hyperlink"/>
                <w:rFonts w:eastAsia="Times New Roman" w:cs="Times New Roman"/>
                <w:bCs/>
                <w:noProof/>
              </w:rPr>
              <w:t>4.</w:t>
            </w:r>
            <w:r w:rsidR="00BC463F" w:rsidRPr="00F41FC4">
              <w:rPr>
                <w:rFonts w:asciiTheme="minorHAnsi" w:eastAsiaTheme="minorEastAsia" w:hAnsiTheme="minorHAnsi"/>
                <w:noProof/>
                <w:lang w:eastAsia="en-GB"/>
              </w:rPr>
              <w:tab/>
            </w:r>
            <w:r w:rsidR="00BC463F" w:rsidRPr="00F41FC4">
              <w:rPr>
                <w:rStyle w:val="Hyperlink"/>
                <w:rFonts w:eastAsia="Times New Roman" w:cs="Times New Roman"/>
                <w:bCs/>
                <w:noProof/>
              </w:rPr>
              <w:t>Arts Activities</w:t>
            </w:r>
            <w:r w:rsidR="00BC463F">
              <w:rPr>
                <w:noProof/>
                <w:webHidden/>
              </w:rPr>
              <w:tab/>
            </w:r>
            <w:r w:rsidR="00BC463F">
              <w:rPr>
                <w:noProof/>
                <w:webHidden/>
              </w:rPr>
              <w:fldChar w:fldCharType="begin"/>
            </w:r>
            <w:r w:rsidR="00BC463F">
              <w:rPr>
                <w:noProof/>
                <w:webHidden/>
              </w:rPr>
              <w:instrText xml:space="preserve"> PAGEREF _Toc403986351 \h </w:instrText>
            </w:r>
            <w:r w:rsidR="00BC463F">
              <w:rPr>
                <w:noProof/>
                <w:webHidden/>
              </w:rPr>
            </w:r>
            <w:r w:rsidR="00BC463F">
              <w:rPr>
                <w:noProof/>
                <w:webHidden/>
              </w:rPr>
              <w:fldChar w:fldCharType="separate"/>
            </w:r>
            <w:r w:rsidR="00875985">
              <w:rPr>
                <w:noProof/>
                <w:webHidden/>
              </w:rPr>
              <w:t>13</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52" w:history="1">
            <w:r w:rsidR="00BC463F" w:rsidRPr="00B0043F">
              <w:rPr>
                <w:rStyle w:val="Hyperlink"/>
                <w:rFonts w:eastAsia="Calibri"/>
                <w:noProof/>
              </w:rPr>
              <w:t>4.1</w:t>
            </w:r>
            <w:r w:rsidR="00BC463F">
              <w:rPr>
                <w:rFonts w:asciiTheme="minorHAnsi" w:eastAsiaTheme="minorEastAsia" w:hAnsiTheme="minorHAnsi"/>
                <w:noProof/>
                <w:lang w:eastAsia="en-GB"/>
              </w:rPr>
              <w:tab/>
            </w:r>
            <w:r w:rsidR="00BC463F" w:rsidRPr="00B0043F">
              <w:rPr>
                <w:rStyle w:val="Hyperlink"/>
                <w:rFonts w:eastAsia="Calibri"/>
                <w:noProof/>
              </w:rPr>
              <w:t>Headline results: total arts activities</w:t>
            </w:r>
            <w:r w:rsidR="00BC463F">
              <w:rPr>
                <w:noProof/>
                <w:webHidden/>
              </w:rPr>
              <w:tab/>
            </w:r>
            <w:r w:rsidR="00BC463F">
              <w:rPr>
                <w:noProof/>
                <w:webHidden/>
              </w:rPr>
              <w:fldChar w:fldCharType="begin"/>
            </w:r>
            <w:r w:rsidR="00BC463F">
              <w:rPr>
                <w:noProof/>
                <w:webHidden/>
              </w:rPr>
              <w:instrText xml:space="preserve"> PAGEREF _Toc403986352 \h </w:instrText>
            </w:r>
            <w:r w:rsidR="00BC463F">
              <w:rPr>
                <w:noProof/>
                <w:webHidden/>
              </w:rPr>
            </w:r>
            <w:r w:rsidR="00BC463F">
              <w:rPr>
                <w:noProof/>
                <w:webHidden/>
              </w:rPr>
              <w:fldChar w:fldCharType="separate"/>
            </w:r>
            <w:r w:rsidR="00875985">
              <w:rPr>
                <w:noProof/>
                <w:webHidden/>
              </w:rPr>
              <w:t>13</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53" w:history="1">
            <w:r w:rsidR="00BC463F" w:rsidRPr="00B0043F">
              <w:rPr>
                <w:rStyle w:val="Hyperlink"/>
                <w:noProof/>
              </w:rPr>
              <w:t>4.2</w:t>
            </w:r>
            <w:r w:rsidR="00BC463F">
              <w:rPr>
                <w:rFonts w:asciiTheme="minorHAnsi" w:eastAsiaTheme="minorEastAsia" w:hAnsiTheme="minorHAnsi"/>
                <w:noProof/>
                <w:lang w:eastAsia="en-GB"/>
              </w:rPr>
              <w:tab/>
            </w:r>
            <w:r w:rsidR="00BC463F" w:rsidRPr="00B0043F">
              <w:rPr>
                <w:rStyle w:val="Hyperlink"/>
                <w:noProof/>
              </w:rPr>
              <w:t>Groups Targeted</w:t>
            </w:r>
            <w:r w:rsidR="00BC463F">
              <w:rPr>
                <w:noProof/>
                <w:webHidden/>
              </w:rPr>
              <w:tab/>
            </w:r>
            <w:r w:rsidR="00BC463F">
              <w:rPr>
                <w:noProof/>
                <w:webHidden/>
              </w:rPr>
              <w:fldChar w:fldCharType="begin"/>
            </w:r>
            <w:r w:rsidR="00BC463F">
              <w:rPr>
                <w:noProof/>
                <w:webHidden/>
              </w:rPr>
              <w:instrText xml:space="preserve"> PAGEREF _Toc403986353 \h </w:instrText>
            </w:r>
            <w:r w:rsidR="00BC463F">
              <w:rPr>
                <w:noProof/>
                <w:webHidden/>
              </w:rPr>
            </w:r>
            <w:r w:rsidR="00BC463F">
              <w:rPr>
                <w:noProof/>
                <w:webHidden/>
              </w:rPr>
              <w:fldChar w:fldCharType="separate"/>
            </w:r>
            <w:r w:rsidR="00875985">
              <w:rPr>
                <w:noProof/>
                <w:webHidden/>
              </w:rPr>
              <w:t>13</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54" w:history="1">
            <w:r w:rsidR="00BC463F" w:rsidRPr="00B0043F">
              <w:rPr>
                <w:rStyle w:val="Hyperlink"/>
                <w:noProof/>
                <w:lang w:eastAsia="en-GB"/>
              </w:rPr>
              <w:t>5.</w:t>
            </w:r>
            <w:r w:rsidR="00BC463F">
              <w:rPr>
                <w:rFonts w:asciiTheme="minorHAnsi" w:eastAsiaTheme="minorEastAsia" w:hAnsiTheme="minorHAnsi"/>
                <w:noProof/>
                <w:lang w:eastAsia="en-GB"/>
              </w:rPr>
              <w:tab/>
            </w:r>
            <w:r w:rsidR="00BC463F" w:rsidRPr="00B0043F">
              <w:rPr>
                <w:rStyle w:val="Hyperlink"/>
                <w:noProof/>
                <w:lang w:eastAsia="en-GB"/>
              </w:rPr>
              <w:t>Participation based activity</w:t>
            </w:r>
            <w:r w:rsidR="00BC463F">
              <w:rPr>
                <w:noProof/>
                <w:webHidden/>
              </w:rPr>
              <w:tab/>
            </w:r>
            <w:r w:rsidR="00BC463F">
              <w:rPr>
                <w:noProof/>
                <w:webHidden/>
              </w:rPr>
              <w:fldChar w:fldCharType="begin"/>
            </w:r>
            <w:r w:rsidR="00BC463F">
              <w:rPr>
                <w:noProof/>
                <w:webHidden/>
              </w:rPr>
              <w:instrText xml:space="preserve"> PAGEREF _Toc403986354 \h </w:instrText>
            </w:r>
            <w:r w:rsidR="00BC463F">
              <w:rPr>
                <w:noProof/>
                <w:webHidden/>
              </w:rPr>
            </w:r>
            <w:r w:rsidR="00BC463F">
              <w:rPr>
                <w:noProof/>
                <w:webHidden/>
              </w:rPr>
              <w:fldChar w:fldCharType="separate"/>
            </w:r>
            <w:r w:rsidR="00875985">
              <w:rPr>
                <w:noProof/>
                <w:webHidden/>
              </w:rPr>
              <w:t>18</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55" w:history="1">
            <w:r w:rsidR="00BC463F" w:rsidRPr="00B0043F">
              <w:rPr>
                <w:rStyle w:val="Hyperlink"/>
                <w:noProof/>
              </w:rPr>
              <w:t>6.</w:t>
            </w:r>
            <w:r w:rsidR="00BC463F">
              <w:rPr>
                <w:rFonts w:asciiTheme="minorHAnsi" w:eastAsiaTheme="minorEastAsia" w:hAnsiTheme="minorHAnsi"/>
                <w:noProof/>
                <w:lang w:eastAsia="en-GB"/>
              </w:rPr>
              <w:tab/>
            </w:r>
            <w:r w:rsidR="00BC463F" w:rsidRPr="00B0043F">
              <w:rPr>
                <w:rStyle w:val="Hyperlink"/>
                <w:noProof/>
              </w:rPr>
              <w:t>Performances</w:t>
            </w:r>
            <w:r w:rsidR="00BC463F">
              <w:rPr>
                <w:noProof/>
                <w:webHidden/>
              </w:rPr>
              <w:tab/>
            </w:r>
            <w:r w:rsidR="00BC463F">
              <w:rPr>
                <w:noProof/>
                <w:webHidden/>
              </w:rPr>
              <w:fldChar w:fldCharType="begin"/>
            </w:r>
            <w:r w:rsidR="00BC463F">
              <w:rPr>
                <w:noProof/>
                <w:webHidden/>
              </w:rPr>
              <w:instrText xml:space="preserve"> PAGEREF _Toc403986355 \h </w:instrText>
            </w:r>
            <w:r w:rsidR="00BC463F">
              <w:rPr>
                <w:noProof/>
                <w:webHidden/>
              </w:rPr>
            </w:r>
            <w:r w:rsidR="00BC463F">
              <w:rPr>
                <w:noProof/>
                <w:webHidden/>
              </w:rPr>
              <w:fldChar w:fldCharType="separate"/>
            </w:r>
            <w:r w:rsidR="00875985">
              <w:rPr>
                <w:noProof/>
                <w:webHidden/>
              </w:rPr>
              <w:t>20</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56" w:history="1">
            <w:r w:rsidR="00BC463F" w:rsidRPr="00B0043F">
              <w:rPr>
                <w:rStyle w:val="Hyperlink"/>
                <w:noProof/>
              </w:rPr>
              <w:t>7.</w:t>
            </w:r>
            <w:r w:rsidR="00BC463F">
              <w:rPr>
                <w:rFonts w:asciiTheme="minorHAnsi" w:eastAsiaTheme="minorEastAsia" w:hAnsiTheme="minorHAnsi"/>
                <w:noProof/>
                <w:lang w:eastAsia="en-GB"/>
              </w:rPr>
              <w:tab/>
            </w:r>
            <w:r w:rsidR="00BC463F" w:rsidRPr="00B0043F">
              <w:rPr>
                <w:rStyle w:val="Hyperlink"/>
                <w:noProof/>
              </w:rPr>
              <w:t>Exhibitions</w:t>
            </w:r>
            <w:r w:rsidR="00BC463F">
              <w:rPr>
                <w:noProof/>
                <w:webHidden/>
              </w:rPr>
              <w:tab/>
            </w:r>
            <w:r w:rsidR="00BC463F">
              <w:rPr>
                <w:noProof/>
                <w:webHidden/>
              </w:rPr>
              <w:fldChar w:fldCharType="begin"/>
            </w:r>
            <w:r w:rsidR="00BC463F">
              <w:rPr>
                <w:noProof/>
                <w:webHidden/>
              </w:rPr>
              <w:instrText xml:space="preserve"> PAGEREF _Toc403986356 \h </w:instrText>
            </w:r>
            <w:r w:rsidR="00BC463F">
              <w:rPr>
                <w:noProof/>
                <w:webHidden/>
              </w:rPr>
            </w:r>
            <w:r w:rsidR="00BC463F">
              <w:rPr>
                <w:noProof/>
                <w:webHidden/>
              </w:rPr>
              <w:fldChar w:fldCharType="separate"/>
            </w:r>
            <w:r w:rsidR="00875985">
              <w:rPr>
                <w:noProof/>
                <w:webHidden/>
              </w:rPr>
              <w:t>22</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57" w:history="1">
            <w:r w:rsidR="00BC463F" w:rsidRPr="00B0043F">
              <w:rPr>
                <w:rStyle w:val="Hyperlink"/>
                <w:noProof/>
              </w:rPr>
              <w:t>8.</w:t>
            </w:r>
            <w:r w:rsidR="00BC463F">
              <w:rPr>
                <w:rFonts w:asciiTheme="minorHAnsi" w:eastAsiaTheme="minorEastAsia" w:hAnsiTheme="minorHAnsi"/>
                <w:noProof/>
                <w:lang w:eastAsia="en-GB"/>
              </w:rPr>
              <w:tab/>
            </w:r>
            <w:r w:rsidR="00BC463F" w:rsidRPr="00B0043F">
              <w:rPr>
                <w:rStyle w:val="Hyperlink"/>
                <w:noProof/>
              </w:rPr>
              <w:t>Resource Organisations</w:t>
            </w:r>
            <w:r w:rsidR="00BC463F">
              <w:rPr>
                <w:noProof/>
                <w:webHidden/>
              </w:rPr>
              <w:tab/>
            </w:r>
            <w:r w:rsidR="00BC463F">
              <w:rPr>
                <w:noProof/>
                <w:webHidden/>
              </w:rPr>
              <w:fldChar w:fldCharType="begin"/>
            </w:r>
            <w:r w:rsidR="00BC463F">
              <w:rPr>
                <w:noProof/>
                <w:webHidden/>
              </w:rPr>
              <w:instrText xml:space="preserve"> PAGEREF _Toc403986357 \h </w:instrText>
            </w:r>
            <w:r w:rsidR="00BC463F">
              <w:rPr>
                <w:noProof/>
                <w:webHidden/>
              </w:rPr>
            </w:r>
            <w:r w:rsidR="00BC463F">
              <w:rPr>
                <w:noProof/>
                <w:webHidden/>
              </w:rPr>
              <w:fldChar w:fldCharType="separate"/>
            </w:r>
            <w:r w:rsidR="00875985">
              <w:rPr>
                <w:noProof/>
                <w:webHidden/>
              </w:rPr>
              <w:t>24</w:t>
            </w:r>
            <w:r w:rsidR="00BC463F">
              <w:rPr>
                <w:noProof/>
                <w:webHidden/>
              </w:rPr>
              <w:fldChar w:fldCharType="end"/>
            </w:r>
          </w:hyperlink>
        </w:p>
        <w:p w:rsidR="00BC463F" w:rsidRDefault="00D3437B">
          <w:pPr>
            <w:pStyle w:val="TOC1"/>
            <w:tabs>
              <w:tab w:val="left" w:pos="440"/>
              <w:tab w:val="right" w:leader="dot" w:pos="8898"/>
            </w:tabs>
            <w:rPr>
              <w:rFonts w:asciiTheme="minorHAnsi" w:eastAsiaTheme="minorEastAsia" w:hAnsiTheme="minorHAnsi"/>
              <w:noProof/>
              <w:lang w:eastAsia="en-GB"/>
            </w:rPr>
          </w:pPr>
          <w:hyperlink w:anchor="_Toc403986358" w:history="1">
            <w:r w:rsidR="00BC463F" w:rsidRPr="00B0043F">
              <w:rPr>
                <w:rStyle w:val="Hyperlink"/>
                <w:noProof/>
              </w:rPr>
              <w:t>9.</w:t>
            </w:r>
            <w:r w:rsidR="00BC463F">
              <w:rPr>
                <w:rFonts w:asciiTheme="minorHAnsi" w:eastAsiaTheme="minorEastAsia" w:hAnsiTheme="minorHAnsi"/>
                <w:noProof/>
                <w:lang w:eastAsia="en-GB"/>
              </w:rPr>
              <w:tab/>
            </w:r>
            <w:r w:rsidR="00BC463F" w:rsidRPr="00B0043F">
              <w:rPr>
                <w:rStyle w:val="Hyperlink"/>
                <w:noProof/>
              </w:rPr>
              <w:t>Activity location</w:t>
            </w:r>
            <w:r w:rsidR="00BC463F">
              <w:rPr>
                <w:noProof/>
                <w:webHidden/>
              </w:rPr>
              <w:tab/>
            </w:r>
            <w:r w:rsidR="00BC463F">
              <w:rPr>
                <w:noProof/>
                <w:webHidden/>
              </w:rPr>
              <w:fldChar w:fldCharType="begin"/>
            </w:r>
            <w:r w:rsidR="00BC463F">
              <w:rPr>
                <w:noProof/>
                <w:webHidden/>
              </w:rPr>
              <w:instrText xml:space="preserve"> PAGEREF _Toc403986358 \h </w:instrText>
            </w:r>
            <w:r w:rsidR="00BC463F">
              <w:rPr>
                <w:noProof/>
                <w:webHidden/>
              </w:rPr>
            </w:r>
            <w:r w:rsidR="00BC463F">
              <w:rPr>
                <w:noProof/>
                <w:webHidden/>
              </w:rPr>
              <w:fldChar w:fldCharType="separate"/>
            </w:r>
            <w:r w:rsidR="00875985">
              <w:rPr>
                <w:noProof/>
                <w:webHidden/>
              </w:rPr>
              <w:t>25</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59" w:history="1">
            <w:r w:rsidR="00BC463F" w:rsidRPr="00B0043F">
              <w:rPr>
                <w:rStyle w:val="Hyperlink"/>
                <w:noProof/>
              </w:rPr>
              <w:t>9.1</w:t>
            </w:r>
            <w:r w:rsidR="00BC463F">
              <w:rPr>
                <w:rFonts w:asciiTheme="minorHAnsi" w:eastAsiaTheme="minorEastAsia" w:hAnsiTheme="minorHAnsi"/>
                <w:noProof/>
                <w:lang w:eastAsia="en-GB"/>
              </w:rPr>
              <w:tab/>
            </w:r>
            <w:r w:rsidR="00BC463F" w:rsidRPr="00B0043F">
              <w:rPr>
                <w:rStyle w:val="Hyperlink"/>
                <w:noProof/>
              </w:rPr>
              <w:t>Overall activity</w:t>
            </w:r>
            <w:r w:rsidR="00BC463F">
              <w:rPr>
                <w:noProof/>
                <w:webHidden/>
              </w:rPr>
              <w:tab/>
            </w:r>
            <w:r w:rsidR="00BC463F">
              <w:rPr>
                <w:noProof/>
                <w:webHidden/>
              </w:rPr>
              <w:fldChar w:fldCharType="begin"/>
            </w:r>
            <w:r w:rsidR="00BC463F">
              <w:rPr>
                <w:noProof/>
                <w:webHidden/>
              </w:rPr>
              <w:instrText xml:space="preserve"> PAGEREF _Toc403986359 \h </w:instrText>
            </w:r>
            <w:r w:rsidR="00BC463F">
              <w:rPr>
                <w:noProof/>
                <w:webHidden/>
              </w:rPr>
            </w:r>
            <w:r w:rsidR="00BC463F">
              <w:rPr>
                <w:noProof/>
                <w:webHidden/>
              </w:rPr>
              <w:fldChar w:fldCharType="separate"/>
            </w:r>
            <w:r w:rsidR="00875985">
              <w:rPr>
                <w:noProof/>
                <w:webHidden/>
              </w:rPr>
              <w:t>25</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60" w:history="1">
            <w:r w:rsidR="00BC463F" w:rsidRPr="00B0043F">
              <w:rPr>
                <w:rStyle w:val="Hyperlink"/>
                <w:noProof/>
              </w:rPr>
              <w:t>9.2</w:t>
            </w:r>
            <w:r w:rsidR="00BC463F">
              <w:rPr>
                <w:rFonts w:asciiTheme="minorHAnsi" w:eastAsiaTheme="minorEastAsia" w:hAnsiTheme="minorHAnsi"/>
                <w:noProof/>
                <w:lang w:eastAsia="en-GB"/>
              </w:rPr>
              <w:tab/>
            </w:r>
            <w:r w:rsidR="00BC463F" w:rsidRPr="00B0043F">
              <w:rPr>
                <w:rStyle w:val="Hyperlink"/>
                <w:noProof/>
              </w:rPr>
              <w:t>Deprivation</w:t>
            </w:r>
            <w:r w:rsidR="00BC463F">
              <w:rPr>
                <w:noProof/>
                <w:webHidden/>
              </w:rPr>
              <w:tab/>
            </w:r>
            <w:r w:rsidR="00BC463F">
              <w:rPr>
                <w:noProof/>
                <w:webHidden/>
              </w:rPr>
              <w:fldChar w:fldCharType="begin"/>
            </w:r>
            <w:r w:rsidR="00BC463F">
              <w:rPr>
                <w:noProof/>
                <w:webHidden/>
              </w:rPr>
              <w:instrText xml:space="preserve"> PAGEREF _Toc403986360 \h </w:instrText>
            </w:r>
            <w:r w:rsidR="00BC463F">
              <w:rPr>
                <w:noProof/>
                <w:webHidden/>
              </w:rPr>
            </w:r>
            <w:r w:rsidR="00BC463F">
              <w:rPr>
                <w:noProof/>
                <w:webHidden/>
              </w:rPr>
              <w:fldChar w:fldCharType="separate"/>
            </w:r>
            <w:r w:rsidR="00875985">
              <w:rPr>
                <w:noProof/>
                <w:webHidden/>
              </w:rPr>
              <w:t>30</w:t>
            </w:r>
            <w:r w:rsidR="00BC463F">
              <w:rPr>
                <w:noProof/>
                <w:webHidden/>
              </w:rPr>
              <w:fldChar w:fldCharType="end"/>
            </w:r>
          </w:hyperlink>
        </w:p>
        <w:p w:rsidR="00BC463F" w:rsidRDefault="00D3437B">
          <w:pPr>
            <w:pStyle w:val="TOC2"/>
            <w:tabs>
              <w:tab w:val="left" w:pos="880"/>
              <w:tab w:val="right" w:leader="dot" w:pos="8898"/>
            </w:tabs>
            <w:rPr>
              <w:rFonts w:asciiTheme="minorHAnsi" w:eastAsiaTheme="minorEastAsia" w:hAnsiTheme="minorHAnsi"/>
              <w:noProof/>
              <w:lang w:eastAsia="en-GB"/>
            </w:rPr>
          </w:pPr>
          <w:hyperlink w:anchor="_Toc403986361" w:history="1">
            <w:r w:rsidR="00BC463F" w:rsidRPr="00B0043F">
              <w:rPr>
                <w:rStyle w:val="Hyperlink"/>
                <w:noProof/>
              </w:rPr>
              <w:t>9.3</w:t>
            </w:r>
            <w:r w:rsidR="00BC463F">
              <w:rPr>
                <w:rFonts w:asciiTheme="minorHAnsi" w:eastAsiaTheme="minorEastAsia" w:hAnsiTheme="minorHAnsi"/>
                <w:noProof/>
                <w:lang w:eastAsia="en-GB"/>
              </w:rPr>
              <w:tab/>
            </w:r>
            <w:r w:rsidR="00BC463F" w:rsidRPr="00B0043F">
              <w:rPr>
                <w:rStyle w:val="Hyperlink"/>
                <w:noProof/>
              </w:rPr>
              <w:t>Neighbourhood Renewal Areas</w:t>
            </w:r>
            <w:r w:rsidR="00BC463F">
              <w:rPr>
                <w:noProof/>
                <w:webHidden/>
              </w:rPr>
              <w:tab/>
            </w:r>
            <w:r w:rsidR="00BC463F">
              <w:rPr>
                <w:noProof/>
                <w:webHidden/>
              </w:rPr>
              <w:fldChar w:fldCharType="begin"/>
            </w:r>
            <w:r w:rsidR="00BC463F">
              <w:rPr>
                <w:noProof/>
                <w:webHidden/>
              </w:rPr>
              <w:instrText xml:space="preserve"> PAGEREF _Toc403986361 \h </w:instrText>
            </w:r>
            <w:r w:rsidR="00BC463F">
              <w:rPr>
                <w:noProof/>
                <w:webHidden/>
              </w:rPr>
            </w:r>
            <w:r w:rsidR="00BC463F">
              <w:rPr>
                <w:noProof/>
                <w:webHidden/>
              </w:rPr>
              <w:fldChar w:fldCharType="separate"/>
            </w:r>
            <w:r w:rsidR="00875985">
              <w:rPr>
                <w:noProof/>
                <w:webHidden/>
              </w:rPr>
              <w:t>31</w:t>
            </w:r>
            <w:r w:rsidR="00BC463F">
              <w:rPr>
                <w:noProof/>
                <w:webHidden/>
              </w:rPr>
              <w:fldChar w:fldCharType="end"/>
            </w:r>
          </w:hyperlink>
        </w:p>
        <w:p w:rsidR="00AF20A9" w:rsidRDefault="00AF20A9" w:rsidP="00AF20A9">
          <w:pPr>
            <w:rPr>
              <w:b/>
              <w:bCs/>
              <w:noProof/>
            </w:rPr>
          </w:pPr>
          <w:r>
            <w:rPr>
              <w:b/>
              <w:bCs/>
              <w:noProof/>
            </w:rPr>
            <w:fldChar w:fldCharType="end"/>
          </w:r>
        </w:p>
      </w:sdtContent>
    </w:sdt>
    <w:p w:rsidR="00AD6FC6" w:rsidRPr="00AF20A9" w:rsidRDefault="00AD6FC6" w:rsidP="00AF20A9">
      <w:r>
        <w:rPr>
          <w:rFonts w:eastAsia="Times New Roman"/>
          <w:lang w:val="en-US"/>
        </w:rPr>
        <w:br w:type="page"/>
      </w:r>
    </w:p>
    <w:p w:rsidR="00671ECB" w:rsidRPr="008C0B66" w:rsidRDefault="00671ECB">
      <w:pPr>
        <w:spacing w:after="200"/>
        <w:rPr>
          <w:rFonts w:eastAsia="Times New Roman"/>
          <w:b/>
          <w:lang w:val="en-US"/>
        </w:rPr>
      </w:pPr>
      <w:r w:rsidRPr="008C0B66">
        <w:rPr>
          <w:rFonts w:eastAsia="Times New Roman"/>
          <w:b/>
          <w:lang w:val="en-US"/>
        </w:rPr>
        <w:lastRenderedPageBreak/>
        <w:t>Summary of findings</w:t>
      </w:r>
    </w:p>
    <w:p w:rsidR="003E03A8" w:rsidRDefault="003E03A8" w:rsidP="003E03A8">
      <w:pPr>
        <w:pStyle w:val="ListParagraph"/>
        <w:numPr>
          <w:ilvl w:val="0"/>
          <w:numId w:val="27"/>
        </w:numPr>
        <w:tabs>
          <w:tab w:val="left" w:pos="1740"/>
        </w:tabs>
        <w:spacing w:after="200"/>
        <w:rPr>
          <w:rFonts w:eastAsia="Times New Roman"/>
          <w:lang w:val="en-US"/>
        </w:rPr>
      </w:pPr>
      <w:r>
        <w:rPr>
          <w:rFonts w:eastAsia="Times New Roman"/>
          <w:lang w:val="en-US"/>
        </w:rPr>
        <w:t xml:space="preserve">In 2013/14, </w:t>
      </w:r>
      <w:r w:rsidRPr="003E03A8">
        <w:rPr>
          <w:rFonts w:eastAsia="Times New Roman"/>
          <w:lang w:val="en-US"/>
        </w:rPr>
        <w:t xml:space="preserve">109 organisations </w:t>
      </w:r>
      <w:r>
        <w:rPr>
          <w:rFonts w:eastAsia="Times New Roman"/>
          <w:lang w:val="en-US"/>
        </w:rPr>
        <w:t>received £13.67m in funding (exchequer and lottery).  The largest proportion of this (32 percent) was distributed to organisations working in Combined Arts.</w:t>
      </w:r>
    </w:p>
    <w:p w:rsidR="00FE2E75" w:rsidRDefault="00FE2E75" w:rsidP="00FE2E75">
      <w:pPr>
        <w:pStyle w:val="ListParagraph"/>
        <w:tabs>
          <w:tab w:val="left" w:pos="1740"/>
        </w:tabs>
        <w:spacing w:after="200"/>
        <w:rPr>
          <w:rFonts w:eastAsia="Times New Roman"/>
          <w:lang w:val="en-US"/>
        </w:rPr>
      </w:pPr>
    </w:p>
    <w:p w:rsidR="00FE2E75" w:rsidRDefault="00FE2E75" w:rsidP="003E03A8">
      <w:pPr>
        <w:pStyle w:val="ListParagraph"/>
        <w:numPr>
          <w:ilvl w:val="0"/>
          <w:numId w:val="27"/>
        </w:numPr>
        <w:tabs>
          <w:tab w:val="left" w:pos="1740"/>
        </w:tabs>
        <w:spacing w:after="200"/>
        <w:rPr>
          <w:rFonts w:eastAsia="Times New Roman"/>
          <w:lang w:val="en-US"/>
        </w:rPr>
      </w:pPr>
      <w:r>
        <w:rPr>
          <w:rFonts w:eastAsia="Times New Roman"/>
          <w:lang w:val="en-US"/>
        </w:rPr>
        <w:t>Regularly funded organisations employed 5,108 staff in 2013/14.</w:t>
      </w:r>
      <w:r>
        <w:rPr>
          <w:rStyle w:val="FootnoteReference"/>
          <w:rFonts w:eastAsia="Times New Roman"/>
          <w:lang w:val="en-US"/>
        </w:rPr>
        <w:footnoteReference w:id="1"/>
      </w:r>
      <w:r>
        <w:rPr>
          <w:rFonts w:eastAsia="Times New Roman"/>
          <w:lang w:val="en-US"/>
        </w:rPr>
        <w:t xml:space="preserve"> In addition, a further 1,835 were recruited in voluntary capacities.</w:t>
      </w:r>
      <w:r w:rsidR="00A8723D" w:rsidRPr="00A8723D">
        <w:rPr>
          <w:lang w:val="en-US"/>
        </w:rPr>
        <w:t xml:space="preserve"> </w:t>
      </w:r>
      <w:r w:rsidR="00A8723D">
        <w:rPr>
          <w:rFonts w:eastAsia="Times New Roman"/>
          <w:lang w:val="en-US"/>
        </w:rPr>
        <w:t xml:space="preserve">Of the permanent staff employed, </w:t>
      </w:r>
      <w:r w:rsidR="00A8723D" w:rsidRPr="00A8723D">
        <w:rPr>
          <w:rFonts w:eastAsia="Times New Roman"/>
          <w:lang w:val="en-US"/>
        </w:rPr>
        <w:t xml:space="preserve">422 worked full-time and 296 part-time.  </w:t>
      </w:r>
    </w:p>
    <w:p w:rsidR="00FE2E75" w:rsidRPr="00FE2E75" w:rsidRDefault="00FE2E75" w:rsidP="00FE2E75">
      <w:pPr>
        <w:pStyle w:val="ListParagraph"/>
        <w:rPr>
          <w:rFonts w:eastAsia="Times New Roman"/>
          <w:lang w:val="en-US"/>
        </w:rPr>
      </w:pPr>
    </w:p>
    <w:p w:rsidR="004869ED" w:rsidRDefault="00A8723D" w:rsidP="004869ED">
      <w:pPr>
        <w:pStyle w:val="ListParagraph"/>
        <w:numPr>
          <w:ilvl w:val="0"/>
          <w:numId w:val="27"/>
        </w:numPr>
        <w:tabs>
          <w:tab w:val="left" w:pos="1740"/>
        </w:tabs>
        <w:spacing w:after="200"/>
        <w:rPr>
          <w:rFonts w:eastAsia="Times New Roman"/>
          <w:lang w:val="en-US"/>
        </w:rPr>
      </w:pPr>
      <w:r>
        <w:rPr>
          <w:rFonts w:eastAsia="Times New Roman"/>
          <w:lang w:val="en-US"/>
        </w:rPr>
        <w:t>Excluding c</w:t>
      </w:r>
      <w:r w:rsidRPr="00A8723D">
        <w:rPr>
          <w:rFonts w:eastAsia="Times New Roman"/>
          <w:lang w:val="en-US"/>
        </w:rPr>
        <w:t>apital sources, total income equated to £48.1m.  The largest single sour</w:t>
      </w:r>
      <w:r>
        <w:rPr>
          <w:rFonts w:eastAsia="Times New Roman"/>
          <w:lang w:val="en-US"/>
        </w:rPr>
        <w:t xml:space="preserve">ce </w:t>
      </w:r>
      <w:r w:rsidRPr="00A8723D">
        <w:rPr>
          <w:rFonts w:eastAsia="Times New Roman"/>
          <w:lang w:val="en-US"/>
        </w:rPr>
        <w:t>generated from grant income (£26.0m) followed by earned income (£19.8m).</w:t>
      </w:r>
      <w:r w:rsidR="004869ED">
        <w:rPr>
          <w:rFonts w:eastAsia="Times New Roman"/>
          <w:lang w:val="en-US"/>
        </w:rPr>
        <w:t xml:space="preserve">  </w:t>
      </w:r>
      <w:r w:rsidR="003B79D0">
        <w:rPr>
          <w:rFonts w:eastAsia="Times New Roman"/>
          <w:lang w:val="en-US"/>
        </w:rPr>
        <w:t xml:space="preserve">Compared to 2012/13 </w:t>
      </w:r>
      <w:r w:rsidR="004869ED" w:rsidRPr="004869ED">
        <w:rPr>
          <w:rFonts w:eastAsia="Times New Roman"/>
          <w:lang w:val="en-US"/>
        </w:rPr>
        <w:t>Grant income fell by 10 percent and earned income increased by 9 percent</w:t>
      </w:r>
      <w:r w:rsidR="004869ED">
        <w:rPr>
          <w:rFonts w:eastAsia="Times New Roman"/>
          <w:lang w:val="en-US"/>
        </w:rPr>
        <w:t>.</w:t>
      </w:r>
      <w:r w:rsidR="004869ED">
        <w:rPr>
          <w:rStyle w:val="FootnoteReference"/>
          <w:rFonts w:eastAsia="Times New Roman"/>
          <w:lang w:val="en-US"/>
        </w:rPr>
        <w:footnoteReference w:id="2"/>
      </w:r>
      <w:r w:rsidR="004869ED" w:rsidRPr="004869ED">
        <w:rPr>
          <w:rFonts w:eastAsia="Times New Roman"/>
          <w:lang w:val="en-US"/>
        </w:rPr>
        <w:t xml:space="preserve"> </w:t>
      </w:r>
    </w:p>
    <w:p w:rsidR="004869ED" w:rsidRPr="004869ED" w:rsidRDefault="004869ED" w:rsidP="004869ED">
      <w:pPr>
        <w:pStyle w:val="ListParagraph"/>
        <w:tabs>
          <w:tab w:val="left" w:pos="1740"/>
        </w:tabs>
        <w:spacing w:after="200"/>
        <w:rPr>
          <w:rFonts w:eastAsia="Times New Roman"/>
          <w:lang w:val="en-US"/>
        </w:rPr>
      </w:pPr>
    </w:p>
    <w:p w:rsidR="002C596A" w:rsidRDefault="004869ED" w:rsidP="004869ED">
      <w:pPr>
        <w:pStyle w:val="ListParagraph"/>
        <w:numPr>
          <w:ilvl w:val="0"/>
          <w:numId w:val="27"/>
        </w:numPr>
        <w:spacing w:after="200"/>
        <w:rPr>
          <w:rFonts w:eastAsia="Times New Roman"/>
          <w:lang w:val="en-US"/>
        </w:rPr>
      </w:pPr>
      <w:r>
        <w:rPr>
          <w:rFonts w:eastAsia="Times New Roman"/>
          <w:lang w:val="en-US"/>
        </w:rPr>
        <w:t xml:space="preserve">Total expenditure equated to £50.0m.  </w:t>
      </w:r>
      <w:r w:rsidR="0007310E">
        <w:rPr>
          <w:rFonts w:eastAsia="Times New Roman"/>
          <w:lang w:val="en-US"/>
        </w:rPr>
        <w:t>Fifty six percent related to programme costs and 44 percent core costs.  Compared to the previous financial year, expenditure increased by 6 percent.</w:t>
      </w:r>
    </w:p>
    <w:p w:rsidR="0007310E" w:rsidRPr="0007310E" w:rsidRDefault="0007310E" w:rsidP="0007310E">
      <w:pPr>
        <w:pStyle w:val="ListParagraph"/>
        <w:rPr>
          <w:rFonts w:eastAsia="Times New Roman"/>
          <w:lang w:val="en-US"/>
        </w:rPr>
      </w:pPr>
    </w:p>
    <w:p w:rsidR="0007310E" w:rsidRDefault="0007310E" w:rsidP="004869ED">
      <w:pPr>
        <w:pStyle w:val="ListParagraph"/>
        <w:numPr>
          <w:ilvl w:val="0"/>
          <w:numId w:val="27"/>
        </w:numPr>
        <w:spacing w:after="200"/>
        <w:rPr>
          <w:rFonts w:eastAsia="Times New Roman"/>
          <w:lang w:val="en-US"/>
        </w:rPr>
      </w:pPr>
      <w:r>
        <w:rPr>
          <w:rFonts w:eastAsia="Times New Roman"/>
          <w:lang w:val="en-US"/>
        </w:rPr>
        <w:t>Regularly funded organisations delivered 29,305 events: 24,171 performances; 4,693 participation based events and 445 exhibitions.</w:t>
      </w:r>
    </w:p>
    <w:p w:rsidR="00432A3D" w:rsidRPr="00432A3D" w:rsidRDefault="00432A3D" w:rsidP="00432A3D">
      <w:pPr>
        <w:pStyle w:val="ListParagraph"/>
        <w:rPr>
          <w:rFonts w:eastAsia="Times New Roman"/>
          <w:lang w:val="en-US"/>
        </w:rPr>
      </w:pPr>
    </w:p>
    <w:p w:rsidR="00D91F9A" w:rsidRDefault="00432A3D" w:rsidP="00D91F9A">
      <w:pPr>
        <w:pStyle w:val="ListParagraph"/>
        <w:numPr>
          <w:ilvl w:val="0"/>
          <w:numId w:val="27"/>
        </w:numPr>
        <w:spacing w:after="200"/>
        <w:rPr>
          <w:rFonts w:eastAsia="Times New Roman"/>
          <w:lang w:val="en-US"/>
        </w:rPr>
      </w:pPr>
      <w:r>
        <w:rPr>
          <w:rFonts w:eastAsia="Times New Roman"/>
          <w:lang w:val="en-US"/>
        </w:rPr>
        <w:t>The largest proportion of activity delivered this year was targeted at children and young people (40 percent) followed by socially / economically deprived groups (22 percent)</w:t>
      </w:r>
      <w:r w:rsidR="00D11AAC">
        <w:rPr>
          <w:rFonts w:eastAsia="Times New Roman"/>
          <w:lang w:val="en-US"/>
        </w:rPr>
        <w:t>.</w:t>
      </w:r>
    </w:p>
    <w:p w:rsidR="00D91F9A" w:rsidRDefault="00D91F9A" w:rsidP="00D91F9A">
      <w:pPr>
        <w:pStyle w:val="ListParagraph"/>
        <w:spacing w:after="200"/>
        <w:rPr>
          <w:rFonts w:eastAsia="Times New Roman"/>
          <w:lang w:val="en-US"/>
        </w:rPr>
      </w:pPr>
    </w:p>
    <w:p w:rsidR="002C596A" w:rsidRDefault="00D91F9A" w:rsidP="00D91F9A">
      <w:pPr>
        <w:pStyle w:val="ListParagraph"/>
        <w:numPr>
          <w:ilvl w:val="0"/>
          <w:numId w:val="27"/>
        </w:numPr>
        <w:spacing w:after="200"/>
        <w:rPr>
          <w:rFonts w:eastAsia="Times New Roman"/>
          <w:lang w:val="en-US"/>
        </w:rPr>
      </w:pPr>
      <w:r>
        <w:rPr>
          <w:rFonts w:eastAsia="Times New Roman"/>
          <w:lang w:val="en-US"/>
        </w:rPr>
        <w:t xml:space="preserve">An ‘accessible venue’ was the method most frequently </w:t>
      </w:r>
      <w:r w:rsidR="00582D60">
        <w:rPr>
          <w:rFonts w:eastAsia="Times New Roman"/>
          <w:lang w:val="en-US"/>
        </w:rPr>
        <w:t>used</w:t>
      </w:r>
      <w:r>
        <w:rPr>
          <w:rFonts w:eastAsia="Times New Roman"/>
          <w:lang w:val="en-US"/>
        </w:rPr>
        <w:t xml:space="preserve"> to support access to events (69 percent), followed by ‘affordability’ (62 percent) and outreach (39 percent).</w:t>
      </w:r>
    </w:p>
    <w:p w:rsidR="00D91F9A" w:rsidRPr="00D91F9A" w:rsidRDefault="00D91F9A" w:rsidP="00D91F9A">
      <w:pPr>
        <w:pStyle w:val="ListParagraph"/>
        <w:rPr>
          <w:rFonts w:eastAsia="Times New Roman"/>
          <w:lang w:val="en-US"/>
        </w:rPr>
      </w:pPr>
    </w:p>
    <w:p w:rsidR="00D91F9A" w:rsidRDefault="00BF44AA" w:rsidP="00D91F9A">
      <w:pPr>
        <w:pStyle w:val="ListParagraph"/>
        <w:numPr>
          <w:ilvl w:val="0"/>
          <w:numId w:val="27"/>
        </w:numPr>
        <w:spacing w:after="200"/>
        <w:rPr>
          <w:rFonts w:eastAsia="Times New Roman"/>
          <w:lang w:val="en-US"/>
        </w:rPr>
      </w:pPr>
      <w:r>
        <w:rPr>
          <w:rFonts w:eastAsia="Times New Roman"/>
          <w:lang w:val="en-US"/>
        </w:rPr>
        <w:t xml:space="preserve">Over 427,000 </w:t>
      </w:r>
      <w:r w:rsidR="003B79D0">
        <w:rPr>
          <w:rFonts w:eastAsia="Times New Roman"/>
          <w:lang w:val="en-US"/>
        </w:rPr>
        <w:t xml:space="preserve">people </w:t>
      </w:r>
      <w:r>
        <w:rPr>
          <w:rFonts w:eastAsia="Times New Roman"/>
          <w:lang w:val="en-US"/>
        </w:rPr>
        <w:t xml:space="preserve">participated in arts based activity in 2013/14. </w:t>
      </w:r>
      <w:r w:rsidR="00582D60">
        <w:rPr>
          <w:rFonts w:eastAsia="Times New Roman"/>
          <w:lang w:val="en-US"/>
        </w:rPr>
        <w:t>Visual arts were</w:t>
      </w:r>
      <w:r>
        <w:rPr>
          <w:rFonts w:eastAsia="Times New Roman"/>
          <w:lang w:val="en-US"/>
        </w:rPr>
        <w:t xml:space="preserve"> most frequently used to deliver this activity, used within 37 percent of activities.</w:t>
      </w:r>
    </w:p>
    <w:p w:rsidR="00BF44AA" w:rsidRPr="00BF44AA" w:rsidRDefault="00BF44AA" w:rsidP="00BF44AA">
      <w:pPr>
        <w:pStyle w:val="ListParagraph"/>
        <w:rPr>
          <w:rFonts w:eastAsia="Times New Roman"/>
          <w:lang w:val="en-US"/>
        </w:rPr>
      </w:pPr>
    </w:p>
    <w:p w:rsidR="00BF44AA" w:rsidRPr="0067673A" w:rsidRDefault="00F41FC4" w:rsidP="00D91F9A">
      <w:pPr>
        <w:pStyle w:val="ListParagraph"/>
        <w:numPr>
          <w:ilvl w:val="0"/>
          <w:numId w:val="27"/>
        </w:numPr>
        <w:spacing w:after="200"/>
        <w:rPr>
          <w:rFonts w:eastAsia="Times New Roman"/>
          <w:lang w:val="en-US"/>
        </w:rPr>
      </w:pPr>
      <w:r>
        <w:rPr>
          <w:rFonts w:eastAsia="Times New Roman"/>
        </w:rPr>
        <w:t>In 2013/14, 60 organisations delivered 24,516</w:t>
      </w:r>
      <w:r w:rsidR="00BF44AA" w:rsidRPr="00BF44AA">
        <w:rPr>
          <w:rFonts w:eastAsia="Times New Roman"/>
        </w:rPr>
        <w:t xml:space="preserve"> perfor</w:t>
      </w:r>
      <w:r>
        <w:rPr>
          <w:rFonts w:eastAsia="Times New Roman"/>
        </w:rPr>
        <w:t>mances.  Total audiences of 1.82</w:t>
      </w:r>
      <w:r w:rsidR="00BF44AA" w:rsidRPr="00BF44AA">
        <w:rPr>
          <w:rFonts w:eastAsia="Times New Roman"/>
        </w:rPr>
        <w:t>m were reported</w:t>
      </w:r>
      <w:r w:rsidR="0067673A">
        <w:rPr>
          <w:rFonts w:eastAsia="Times New Roman"/>
        </w:rPr>
        <w:t xml:space="preserve">.  </w:t>
      </w:r>
      <w:r w:rsidR="0067673A" w:rsidRPr="0067673A">
        <w:rPr>
          <w:rFonts w:eastAsia="Times New Roman"/>
        </w:rPr>
        <w:t xml:space="preserve">Based on a constant sample of 44 organisations total audiences of 1.45m were achieved, an increase (compared to 2012/13) of 24 percent.  </w:t>
      </w:r>
    </w:p>
    <w:p w:rsidR="0067673A" w:rsidRPr="0067673A" w:rsidRDefault="0067673A" w:rsidP="0067673A">
      <w:pPr>
        <w:pStyle w:val="ListParagraph"/>
        <w:rPr>
          <w:rFonts w:eastAsia="Times New Roman"/>
          <w:lang w:val="en-US"/>
        </w:rPr>
      </w:pPr>
    </w:p>
    <w:p w:rsidR="0067673A" w:rsidRPr="009740C1" w:rsidRDefault="009740C1" w:rsidP="00D91F9A">
      <w:pPr>
        <w:pStyle w:val="ListParagraph"/>
        <w:numPr>
          <w:ilvl w:val="0"/>
          <w:numId w:val="27"/>
        </w:numPr>
        <w:spacing w:after="200"/>
        <w:rPr>
          <w:rFonts w:eastAsia="Times New Roman"/>
          <w:lang w:val="en-US"/>
        </w:rPr>
      </w:pPr>
      <w:r w:rsidRPr="009740C1">
        <w:rPr>
          <w:rFonts w:eastAsia="Times New Roman"/>
          <w:bCs/>
        </w:rPr>
        <w:t xml:space="preserve">In 2013/14, 51 organisations reported holding one or more exhibitions.  Total </w:t>
      </w:r>
      <w:r>
        <w:rPr>
          <w:rFonts w:eastAsia="Times New Roman"/>
          <w:bCs/>
        </w:rPr>
        <w:t>‘</w:t>
      </w:r>
      <w:r w:rsidRPr="009740C1">
        <w:rPr>
          <w:rFonts w:eastAsia="Times New Roman"/>
          <w:bCs/>
        </w:rPr>
        <w:t>known</w:t>
      </w:r>
      <w:r>
        <w:rPr>
          <w:rFonts w:eastAsia="Times New Roman"/>
          <w:bCs/>
        </w:rPr>
        <w:t>’</w:t>
      </w:r>
      <w:r w:rsidRPr="009740C1">
        <w:rPr>
          <w:rFonts w:eastAsia="Times New Roman"/>
          <w:bCs/>
        </w:rPr>
        <w:t xml:space="preserve"> audiences for this year were reported as 183,939.</w:t>
      </w:r>
      <w:r w:rsidR="00582D60">
        <w:rPr>
          <w:rFonts w:eastAsia="Times New Roman"/>
          <w:bCs/>
        </w:rPr>
        <w:t xml:space="preserve">  Seventy five percent of exhibition based activity was delivered in the most deprived 10 percent on Northern Ireland. </w:t>
      </w:r>
    </w:p>
    <w:p w:rsidR="009740C1" w:rsidRPr="009740C1" w:rsidRDefault="009740C1" w:rsidP="009740C1">
      <w:pPr>
        <w:pStyle w:val="ListParagraph"/>
        <w:rPr>
          <w:rFonts w:eastAsia="Times New Roman"/>
          <w:lang w:val="en-US"/>
        </w:rPr>
      </w:pPr>
    </w:p>
    <w:p w:rsidR="009740C1" w:rsidRPr="009740C1" w:rsidRDefault="009740C1" w:rsidP="00D91F9A">
      <w:pPr>
        <w:pStyle w:val="ListParagraph"/>
        <w:numPr>
          <w:ilvl w:val="0"/>
          <w:numId w:val="27"/>
        </w:numPr>
        <w:spacing w:after="200"/>
        <w:rPr>
          <w:rFonts w:eastAsia="Times New Roman"/>
          <w:lang w:val="en-US"/>
        </w:rPr>
      </w:pPr>
      <w:r w:rsidRPr="009740C1">
        <w:rPr>
          <w:rFonts w:eastAsia="Times New Roman"/>
        </w:rPr>
        <w:t xml:space="preserve">Overall 50 percent of activity took place in the most deprived areas of Northern Ireland.  By activity type, this ranged from 41 percent (participation) to 75 percent </w:t>
      </w:r>
      <w:r w:rsidRPr="009740C1">
        <w:rPr>
          <w:rFonts w:eastAsia="Times New Roman"/>
        </w:rPr>
        <w:lastRenderedPageBreak/>
        <w:t>(exhibitions).</w:t>
      </w:r>
      <w:r w:rsidR="00582D60">
        <w:rPr>
          <w:rFonts w:eastAsia="Times New Roman"/>
        </w:rPr>
        <w:t xml:space="preserve">  Sixty one percent of all people engaged in the arts did so in these areas.</w:t>
      </w:r>
    </w:p>
    <w:p w:rsidR="009740C1" w:rsidRPr="009740C1" w:rsidRDefault="009740C1" w:rsidP="009740C1">
      <w:pPr>
        <w:pStyle w:val="ListParagraph"/>
        <w:rPr>
          <w:rFonts w:eastAsia="Times New Roman"/>
          <w:lang w:val="en-US"/>
        </w:rPr>
      </w:pPr>
    </w:p>
    <w:p w:rsidR="009740C1" w:rsidRDefault="009740C1" w:rsidP="00D91F9A">
      <w:pPr>
        <w:pStyle w:val="ListParagraph"/>
        <w:numPr>
          <w:ilvl w:val="0"/>
          <w:numId w:val="27"/>
        </w:numPr>
        <w:spacing w:after="200"/>
        <w:rPr>
          <w:rFonts w:eastAsia="Times New Roman"/>
          <w:lang w:val="en-US"/>
        </w:rPr>
      </w:pPr>
      <w:r>
        <w:rPr>
          <w:rFonts w:eastAsia="Times New Roman"/>
          <w:lang w:val="en-US"/>
        </w:rPr>
        <w:t>Fifty three per</w:t>
      </w:r>
      <w:r w:rsidR="00C80919">
        <w:rPr>
          <w:rFonts w:eastAsia="Times New Roman"/>
          <w:lang w:val="en-US"/>
        </w:rPr>
        <w:t>cent of activity was delivered within designated Neighborhood Renewal Areas.</w:t>
      </w:r>
    </w:p>
    <w:p w:rsidR="00C80919" w:rsidRPr="00C80919" w:rsidRDefault="00C80919" w:rsidP="00C80919">
      <w:pPr>
        <w:pStyle w:val="ListParagraph"/>
        <w:rPr>
          <w:rFonts w:eastAsia="Times New Roman"/>
          <w:lang w:val="en-US"/>
        </w:rPr>
      </w:pPr>
    </w:p>
    <w:p w:rsidR="00671ECB" w:rsidRPr="00807FC9" w:rsidRDefault="00671ECB" w:rsidP="00807FC9">
      <w:pPr>
        <w:spacing w:after="200"/>
        <w:rPr>
          <w:rFonts w:eastAsia="Times New Roman"/>
          <w:lang w:val="en-US"/>
        </w:rPr>
      </w:pPr>
      <w:r w:rsidRPr="00807FC9">
        <w:rPr>
          <w:rFonts w:eastAsia="Times New Roman"/>
          <w:lang w:val="en-US"/>
        </w:rPr>
        <w:br w:type="page"/>
      </w:r>
    </w:p>
    <w:p w:rsidR="00EE4664" w:rsidRDefault="00EE4664" w:rsidP="00EE5884">
      <w:pPr>
        <w:pStyle w:val="Heading1"/>
        <w:rPr>
          <w:rFonts w:eastAsia="Times New Roman"/>
          <w:lang w:val="en-US"/>
        </w:rPr>
      </w:pPr>
      <w:bookmarkStart w:id="2" w:name="_Toc403986342"/>
      <w:r>
        <w:rPr>
          <w:rFonts w:eastAsia="Times New Roman"/>
          <w:lang w:val="en-US"/>
        </w:rPr>
        <w:lastRenderedPageBreak/>
        <w:t>Introduction</w:t>
      </w:r>
      <w:bookmarkEnd w:id="2"/>
    </w:p>
    <w:p w:rsidR="00FF3B02" w:rsidRDefault="00FF3B02" w:rsidP="00FF3B02">
      <w:pPr>
        <w:rPr>
          <w:rFonts w:cs="Arial"/>
        </w:rPr>
      </w:pPr>
      <w:r>
        <w:rPr>
          <w:rFonts w:cs="Arial"/>
        </w:rPr>
        <w:t>Each year arts organisations receiving regular, core funding from the Arts Council of Northern Ireland through the Annual Funding Programme (AFP) are asked to provide information on their organisation’s profile, finances and activity (performances, exhibitions and participation based activity).  This report provides a high level summary of this activity generated through the Regularly Funded Organisation (RFO) survey.</w:t>
      </w:r>
    </w:p>
    <w:p w:rsidR="00FF3B02" w:rsidRDefault="00FF3B02" w:rsidP="00FF3B02">
      <w:pPr>
        <w:rPr>
          <w:rFonts w:cs="Arial"/>
        </w:rPr>
      </w:pPr>
    </w:p>
    <w:p w:rsidR="00FF3B02" w:rsidRDefault="00A872C5" w:rsidP="00FF3B02">
      <w:pPr>
        <w:rPr>
          <w:rFonts w:cs="Arial"/>
        </w:rPr>
      </w:pPr>
      <w:r>
        <w:rPr>
          <w:rFonts w:cs="Arial"/>
        </w:rPr>
        <w:t xml:space="preserve">This represents the last report based on the current survey mechanism.  A new survey (the Annual Funding Survey) has been designed and rolled out by the Arts Council to reflect evolving client activity and changing information needs.  Client activity delivered in 2014/15 will be collected using this new mechanism, with results available in September 2015.   </w:t>
      </w:r>
    </w:p>
    <w:p w:rsidR="00FF3B02" w:rsidRDefault="00FF3B02" w:rsidP="00FF3B02">
      <w:pPr>
        <w:rPr>
          <w:rFonts w:cs="Arial"/>
        </w:rPr>
      </w:pPr>
    </w:p>
    <w:p w:rsidR="00A872C5" w:rsidRPr="00A872C5" w:rsidRDefault="00A872C5" w:rsidP="00A872C5">
      <w:pPr>
        <w:rPr>
          <w:rFonts w:cs="Arial"/>
        </w:rPr>
      </w:pPr>
      <w:r>
        <w:rPr>
          <w:rFonts w:cs="Arial"/>
        </w:rPr>
        <w:t>The RFO s</w:t>
      </w:r>
      <w:r w:rsidRPr="00A872C5">
        <w:rPr>
          <w:rFonts w:cs="Arial"/>
        </w:rPr>
        <w:t>urvey is designed primarily as a monitoring tool, providing the Arts Council with evidence of activity</w:t>
      </w:r>
      <w:r w:rsidR="00FC41AE">
        <w:rPr>
          <w:rFonts w:cs="Arial"/>
        </w:rPr>
        <w:t xml:space="preserve"> and outputs</w:t>
      </w:r>
      <w:r w:rsidRPr="00A872C5">
        <w:rPr>
          <w:rFonts w:cs="Arial"/>
        </w:rPr>
        <w:t xml:space="preserve">.  </w:t>
      </w:r>
      <w:r w:rsidR="008356A0">
        <w:rPr>
          <w:rFonts w:cs="Arial"/>
        </w:rPr>
        <w:t>T</w:t>
      </w:r>
      <w:r w:rsidR="00825C24">
        <w:rPr>
          <w:rFonts w:cs="Arial"/>
        </w:rPr>
        <w:t xml:space="preserve">he Council </w:t>
      </w:r>
      <w:r w:rsidRPr="00A872C5">
        <w:rPr>
          <w:rFonts w:cs="Arial"/>
        </w:rPr>
        <w:t>use</w:t>
      </w:r>
      <w:r w:rsidR="00825C24">
        <w:rPr>
          <w:rFonts w:cs="Arial"/>
        </w:rPr>
        <w:t>s</w:t>
      </w:r>
      <w:r w:rsidRPr="00A872C5">
        <w:rPr>
          <w:rFonts w:cs="Arial"/>
        </w:rPr>
        <w:t xml:space="preserve"> the information collected for a variety of purposes: to report to government, to support the work of funded organisations and assess the effectiveness of the Annual Funding Programme.</w:t>
      </w:r>
    </w:p>
    <w:p w:rsidR="00FF3B02" w:rsidRDefault="00FF3B02" w:rsidP="00FF3B02">
      <w:pPr>
        <w:rPr>
          <w:rFonts w:cs="Arial"/>
        </w:rPr>
      </w:pPr>
    </w:p>
    <w:p w:rsidR="00FC41AE" w:rsidRDefault="00FC41AE" w:rsidP="00FC41AE">
      <w:pPr>
        <w:rPr>
          <w:lang w:val="en-US"/>
        </w:rPr>
      </w:pPr>
      <w:r>
        <w:rPr>
          <w:lang w:val="en-US"/>
        </w:rPr>
        <w:t>The 2013/14 RFO survey was completed by 109 funded organisations.  These organisations were awarded a total of £13.7m from both exchequer and lottery sources.  A full list of organisations in receipt of funding can be found in Appendix 1.</w:t>
      </w:r>
      <w:r w:rsidR="00440247">
        <w:rPr>
          <w:lang w:val="en-US"/>
        </w:rPr>
        <w:t xml:space="preserve">  The report</w:t>
      </w:r>
      <w:r w:rsidR="00825C24">
        <w:rPr>
          <w:lang w:val="en-US"/>
        </w:rPr>
        <w:t>’</w:t>
      </w:r>
      <w:r w:rsidR="00440247">
        <w:rPr>
          <w:lang w:val="en-US"/>
        </w:rPr>
        <w:t xml:space="preserve">s layout is largely consistent with the order of the survey sections.  Following consideration of the artform characteristics, staffing and finance (two areas relevant to the whole sector) </w:t>
      </w:r>
      <w:r w:rsidR="00825C24">
        <w:rPr>
          <w:lang w:val="en-US"/>
        </w:rPr>
        <w:t xml:space="preserve">are </w:t>
      </w:r>
      <w:r w:rsidR="00440247">
        <w:rPr>
          <w:lang w:val="en-US"/>
        </w:rPr>
        <w:t xml:space="preserve">analysed.  The report then goes on to consider the main activity areas: participation, performances and exhibitions.  Finally, the work of resource organisations is looked at.  </w:t>
      </w:r>
    </w:p>
    <w:p w:rsidR="00FF3B02" w:rsidRDefault="00FF3B02" w:rsidP="00FF3B02">
      <w:pPr>
        <w:rPr>
          <w:rFonts w:cs="Arial"/>
        </w:rPr>
      </w:pPr>
    </w:p>
    <w:p w:rsidR="002E31E6" w:rsidRDefault="002E31E6" w:rsidP="00EE4664">
      <w:pPr>
        <w:rPr>
          <w:lang w:val="en-US"/>
        </w:rPr>
      </w:pPr>
    </w:p>
    <w:p w:rsidR="00034951" w:rsidRPr="00D94C53" w:rsidRDefault="008338CD" w:rsidP="008F691D">
      <w:pPr>
        <w:pStyle w:val="Heading2"/>
        <w:rPr>
          <w:lang w:val="en-US"/>
        </w:rPr>
      </w:pPr>
      <w:bookmarkStart w:id="3" w:name="_Toc403986343"/>
      <w:r>
        <w:rPr>
          <w:lang w:val="en-US"/>
        </w:rPr>
        <w:t>Data verification</w:t>
      </w:r>
      <w:bookmarkEnd w:id="3"/>
      <w:r>
        <w:rPr>
          <w:lang w:val="en-US"/>
        </w:rPr>
        <w:t xml:space="preserve"> </w:t>
      </w:r>
    </w:p>
    <w:p w:rsidR="00034951" w:rsidRDefault="00034951" w:rsidP="00EE4664">
      <w:pPr>
        <w:rPr>
          <w:lang w:val="en-US"/>
        </w:rPr>
      </w:pPr>
    </w:p>
    <w:p w:rsidR="00A93752" w:rsidRDefault="00A93752" w:rsidP="00EE4664">
      <w:pPr>
        <w:rPr>
          <w:lang w:val="en-US"/>
        </w:rPr>
      </w:pPr>
      <w:r>
        <w:rPr>
          <w:lang w:val="en-US"/>
        </w:rPr>
        <w:t xml:space="preserve">In a number of instances it has been necessary to exclude </w:t>
      </w:r>
      <w:r w:rsidR="008338CD">
        <w:rPr>
          <w:lang w:val="en-US"/>
        </w:rPr>
        <w:t xml:space="preserve">extreme responses to ensure </w:t>
      </w:r>
      <w:r>
        <w:rPr>
          <w:lang w:val="en-US"/>
        </w:rPr>
        <w:t>trend</w:t>
      </w:r>
      <w:r w:rsidR="008338CD">
        <w:rPr>
          <w:lang w:val="en-US"/>
        </w:rPr>
        <w:t>s displayed are</w:t>
      </w:r>
      <w:r>
        <w:rPr>
          <w:lang w:val="en-US"/>
        </w:rPr>
        <w:t xml:space="preserve"> an accurate reflection of the portfolio.  Referred to as outliers, these figures ha</w:t>
      </w:r>
      <w:r w:rsidR="009B48AE">
        <w:rPr>
          <w:lang w:val="en-US"/>
        </w:rPr>
        <w:t>ve been removed as they</w:t>
      </w:r>
      <w:r w:rsidR="008338CD">
        <w:rPr>
          <w:lang w:val="en-US"/>
        </w:rPr>
        <w:t xml:space="preserve"> tend to</w:t>
      </w:r>
      <w:r w:rsidR="009B48AE">
        <w:rPr>
          <w:lang w:val="en-US"/>
        </w:rPr>
        <w:t xml:space="preserve"> obscure trends.</w:t>
      </w:r>
    </w:p>
    <w:p w:rsidR="008338CD" w:rsidRDefault="008338CD" w:rsidP="00EE4664">
      <w:pPr>
        <w:rPr>
          <w:lang w:val="en-US"/>
        </w:rPr>
      </w:pPr>
    </w:p>
    <w:p w:rsidR="008338CD" w:rsidRDefault="008338CD" w:rsidP="008338CD">
      <w:pPr>
        <w:rPr>
          <w:lang w:val="en-US"/>
        </w:rPr>
      </w:pPr>
      <w:r>
        <w:rPr>
          <w:lang w:val="en-US"/>
        </w:rPr>
        <w:t>So that data can be compared between the 2012/13 and 2013/14 surveys, a constant sample of organisations responding to both years has been compiled.  The number of organisations comprising this sample varies between each area of activity.</w:t>
      </w:r>
    </w:p>
    <w:p w:rsidR="008338CD" w:rsidRDefault="008338CD" w:rsidP="008338CD">
      <w:pPr>
        <w:rPr>
          <w:lang w:val="en-US"/>
        </w:rPr>
      </w:pPr>
    </w:p>
    <w:p w:rsidR="002F2A71" w:rsidRDefault="002F2A71" w:rsidP="008338CD">
      <w:pPr>
        <w:rPr>
          <w:lang w:val="en-US"/>
        </w:rPr>
      </w:pPr>
      <w:r>
        <w:rPr>
          <w:lang w:val="en-US"/>
        </w:rPr>
        <w:t xml:space="preserve">Different </w:t>
      </w:r>
      <w:r w:rsidR="009A3832">
        <w:rPr>
          <w:lang w:val="en-US"/>
        </w:rPr>
        <w:t xml:space="preserve">methods used to record audiences and </w:t>
      </w:r>
      <w:proofErr w:type="gramStart"/>
      <w:r w:rsidR="009A3832">
        <w:rPr>
          <w:lang w:val="en-US"/>
        </w:rPr>
        <w:t xml:space="preserve">participants engaged in activity </w:t>
      </w:r>
      <w:r>
        <w:rPr>
          <w:lang w:val="en-US"/>
        </w:rPr>
        <w:t>creates</w:t>
      </w:r>
      <w:proofErr w:type="gramEnd"/>
      <w:r>
        <w:rPr>
          <w:lang w:val="en-US"/>
        </w:rPr>
        <w:t xml:space="preserve"> reliability issues when analyzing data.  To reduce associated error, organisations are asked to report figures as either ‘actual’ or </w:t>
      </w:r>
      <w:proofErr w:type="gramStart"/>
      <w:r>
        <w:rPr>
          <w:lang w:val="en-US"/>
        </w:rPr>
        <w:t>‘estimated’,</w:t>
      </w:r>
      <w:proofErr w:type="gramEnd"/>
      <w:r>
        <w:rPr>
          <w:lang w:val="en-US"/>
        </w:rPr>
        <w:t xml:space="preserve"> depending on the confidence they have in the data.  </w:t>
      </w:r>
    </w:p>
    <w:p w:rsidR="002F2A71" w:rsidRDefault="002F2A71" w:rsidP="002F2A71">
      <w:pPr>
        <w:rPr>
          <w:lang w:val="en-US"/>
        </w:rPr>
      </w:pPr>
      <w:r>
        <w:rPr>
          <w:lang w:val="en-US"/>
        </w:rPr>
        <w:br w:type="page"/>
      </w:r>
    </w:p>
    <w:p w:rsidR="009A3832" w:rsidRDefault="009A3832" w:rsidP="008338CD">
      <w:pPr>
        <w:rPr>
          <w:lang w:val="en-US"/>
        </w:rPr>
      </w:pPr>
    </w:p>
    <w:p w:rsidR="007C44C9" w:rsidRDefault="00497CAC" w:rsidP="008338CD">
      <w:pPr>
        <w:pStyle w:val="Heading2"/>
        <w:rPr>
          <w:lang w:val="en-US"/>
        </w:rPr>
      </w:pPr>
      <w:bookmarkStart w:id="4" w:name="_Toc403986344"/>
      <w:r>
        <w:rPr>
          <w:lang w:val="en-US"/>
        </w:rPr>
        <w:t>Organisations by artform</w:t>
      </w:r>
      <w:bookmarkEnd w:id="4"/>
    </w:p>
    <w:p w:rsidR="007C44C9" w:rsidRDefault="007C44C9" w:rsidP="007C44C9">
      <w:pPr>
        <w:rPr>
          <w:lang w:val="en-US"/>
        </w:rPr>
      </w:pPr>
    </w:p>
    <w:p w:rsidR="00A8257B" w:rsidRDefault="007C44C9" w:rsidP="00A8257B">
      <w:pPr>
        <w:rPr>
          <w:lang w:val="en-US"/>
        </w:rPr>
      </w:pPr>
      <w:r>
        <w:rPr>
          <w:lang w:val="en-US"/>
        </w:rPr>
        <w:t>Regularly funded organisatio</w:t>
      </w:r>
      <w:r w:rsidR="00A8257B">
        <w:rPr>
          <w:lang w:val="en-US"/>
        </w:rPr>
        <w:t xml:space="preserve">ns are classified into </w:t>
      </w:r>
      <w:r w:rsidR="00D94C53">
        <w:rPr>
          <w:lang w:val="en-US"/>
        </w:rPr>
        <w:t>one of seven</w:t>
      </w:r>
      <w:r w:rsidR="00A8257B">
        <w:rPr>
          <w:lang w:val="en-US"/>
        </w:rPr>
        <w:t xml:space="preserve"> different artform categories.   The artform assigned to an organisation relates to the principal area of </w:t>
      </w:r>
      <w:r w:rsidR="00C462AC">
        <w:rPr>
          <w:lang w:val="en-US"/>
        </w:rPr>
        <w:t xml:space="preserve">its </w:t>
      </w:r>
      <w:r w:rsidR="00A8257B">
        <w:rPr>
          <w:lang w:val="en-US"/>
        </w:rPr>
        <w:t>work.  The following classifications are used in this report:</w:t>
      </w:r>
    </w:p>
    <w:p w:rsidR="007C44C9" w:rsidRDefault="007C44C9" w:rsidP="007C44C9">
      <w:pPr>
        <w:rPr>
          <w:lang w:val="en-US"/>
        </w:rPr>
      </w:pPr>
    </w:p>
    <w:p w:rsidR="007C44C9" w:rsidRDefault="007C44C9" w:rsidP="007C44C9">
      <w:pPr>
        <w:pStyle w:val="ListParagraph"/>
        <w:numPr>
          <w:ilvl w:val="0"/>
          <w:numId w:val="10"/>
        </w:numPr>
        <w:rPr>
          <w:lang w:val="en-US"/>
        </w:rPr>
      </w:pPr>
      <w:r>
        <w:rPr>
          <w:lang w:val="en-US"/>
        </w:rPr>
        <w:t>Combined arts</w:t>
      </w:r>
    </w:p>
    <w:p w:rsidR="007C44C9" w:rsidRDefault="007C44C9" w:rsidP="007C44C9">
      <w:pPr>
        <w:pStyle w:val="ListParagraph"/>
        <w:numPr>
          <w:ilvl w:val="0"/>
          <w:numId w:val="10"/>
        </w:numPr>
        <w:rPr>
          <w:lang w:val="en-US"/>
        </w:rPr>
      </w:pPr>
      <w:r>
        <w:rPr>
          <w:lang w:val="en-US"/>
        </w:rPr>
        <w:t>Dance</w:t>
      </w:r>
    </w:p>
    <w:p w:rsidR="007C44C9" w:rsidRDefault="007C44C9" w:rsidP="007C44C9">
      <w:pPr>
        <w:pStyle w:val="ListParagraph"/>
        <w:numPr>
          <w:ilvl w:val="0"/>
          <w:numId w:val="10"/>
        </w:numPr>
        <w:rPr>
          <w:lang w:val="en-US"/>
        </w:rPr>
      </w:pPr>
      <w:r>
        <w:rPr>
          <w:lang w:val="en-US"/>
        </w:rPr>
        <w:t>Literature</w:t>
      </w:r>
    </w:p>
    <w:p w:rsidR="007C44C9" w:rsidRDefault="007C44C9" w:rsidP="007C44C9">
      <w:pPr>
        <w:pStyle w:val="ListParagraph"/>
        <w:numPr>
          <w:ilvl w:val="0"/>
          <w:numId w:val="10"/>
        </w:numPr>
        <w:rPr>
          <w:lang w:val="en-US"/>
        </w:rPr>
      </w:pPr>
      <w:r>
        <w:rPr>
          <w:lang w:val="en-US"/>
        </w:rPr>
        <w:t>Music</w:t>
      </w:r>
    </w:p>
    <w:p w:rsidR="007C44C9" w:rsidRDefault="007C44C9" w:rsidP="007C44C9">
      <w:pPr>
        <w:pStyle w:val="ListParagraph"/>
        <w:numPr>
          <w:ilvl w:val="0"/>
          <w:numId w:val="10"/>
        </w:numPr>
        <w:rPr>
          <w:lang w:val="en-US"/>
        </w:rPr>
      </w:pPr>
      <w:r>
        <w:rPr>
          <w:lang w:val="en-US"/>
        </w:rPr>
        <w:t>Visual Arts</w:t>
      </w:r>
    </w:p>
    <w:p w:rsidR="007C44C9" w:rsidRDefault="007C44C9" w:rsidP="007C44C9">
      <w:pPr>
        <w:pStyle w:val="ListParagraph"/>
        <w:numPr>
          <w:ilvl w:val="0"/>
          <w:numId w:val="10"/>
        </w:numPr>
        <w:rPr>
          <w:lang w:val="en-US"/>
        </w:rPr>
      </w:pPr>
      <w:r>
        <w:rPr>
          <w:lang w:val="en-US"/>
        </w:rPr>
        <w:t>Traditional Arts</w:t>
      </w:r>
    </w:p>
    <w:p w:rsidR="007C44C9" w:rsidRPr="007C44C9" w:rsidRDefault="007C44C9" w:rsidP="007C44C9">
      <w:pPr>
        <w:pStyle w:val="ListParagraph"/>
        <w:numPr>
          <w:ilvl w:val="0"/>
          <w:numId w:val="10"/>
        </w:numPr>
        <w:rPr>
          <w:lang w:val="en-US"/>
        </w:rPr>
      </w:pPr>
      <w:r>
        <w:rPr>
          <w:lang w:val="en-US"/>
        </w:rPr>
        <w:t>Drama</w:t>
      </w:r>
    </w:p>
    <w:p w:rsidR="007619A5" w:rsidRDefault="007619A5" w:rsidP="007619A5">
      <w:pPr>
        <w:pStyle w:val="Caption"/>
      </w:pPr>
    </w:p>
    <w:p w:rsidR="007619A5" w:rsidRDefault="00BC32F1" w:rsidP="007619A5">
      <w:pPr>
        <w:rPr>
          <w:lang w:val="en-US"/>
        </w:rPr>
      </w:pPr>
      <w:r>
        <w:rPr>
          <w:lang w:val="en-US"/>
        </w:rPr>
        <w:t xml:space="preserve">Table 3 shows the breakdown of the RFO portfolio by artform.  </w:t>
      </w:r>
      <w:r w:rsidR="001D7C6C">
        <w:rPr>
          <w:lang w:val="en-US"/>
        </w:rPr>
        <w:t>There were 109 organisations included in the 2013/14 portfolio, with t</w:t>
      </w:r>
      <w:r>
        <w:rPr>
          <w:lang w:val="en-US"/>
        </w:rPr>
        <w:t>he most strongly represented artform</w:t>
      </w:r>
      <w:r w:rsidR="001D7C6C">
        <w:rPr>
          <w:lang w:val="en-US"/>
        </w:rPr>
        <w:t xml:space="preserve"> being</w:t>
      </w:r>
      <w:r w:rsidR="008663B6">
        <w:rPr>
          <w:lang w:val="en-US"/>
        </w:rPr>
        <w:t xml:space="preserve"> Combined Arts, comprising 33</w:t>
      </w:r>
      <w:r>
        <w:rPr>
          <w:lang w:val="en-US"/>
        </w:rPr>
        <w:t xml:space="preserve"> percent of the portfolio with</w:t>
      </w:r>
      <w:r w:rsidR="008663B6">
        <w:rPr>
          <w:lang w:val="en-US"/>
        </w:rPr>
        <w:t xml:space="preserve"> 30 organisations.  These organisations receive a total of £4.4m in funding, constituting 32 percent of the total budget.</w:t>
      </w:r>
      <w:r>
        <w:rPr>
          <w:lang w:val="en-US"/>
        </w:rPr>
        <w:t xml:space="preserve"> </w:t>
      </w:r>
    </w:p>
    <w:p w:rsidR="007619A5" w:rsidRDefault="007619A5" w:rsidP="007619A5">
      <w:pPr>
        <w:rPr>
          <w:lang w:val="en-US"/>
        </w:rPr>
      </w:pPr>
    </w:p>
    <w:p w:rsidR="00BC32F1" w:rsidRDefault="00D33471" w:rsidP="007619A5">
      <w:pPr>
        <w:rPr>
          <w:lang w:val="en-US"/>
        </w:rPr>
      </w:pPr>
      <w:r>
        <w:rPr>
          <w:lang w:val="en-US"/>
        </w:rPr>
        <w:t xml:space="preserve">Drama and Music also receive a significant proportion of funding, drawing down 24 and 23 percent of the overall budget.  In comparison, </w:t>
      </w:r>
      <w:r w:rsidR="008663B6">
        <w:rPr>
          <w:lang w:val="en-US"/>
        </w:rPr>
        <w:t>Dance has the lowest representation in the 2013/14 portfolio with 4 organisations.  These organisations receive £286,667</w:t>
      </w:r>
      <w:r w:rsidR="006E4D93">
        <w:rPr>
          <w:lang w:val="en-US"/>
        </w:rPr>
        <w:t xml:space="preserve">, 2 percent of the </w:t>
      </w:r>
      <w:r>
        <w:rPr>
          <w:lang w:val="en-US"/>
        </w:rPr>
        <w:t>budget.</w:t>
      </w:r>
    </w:p>
    <w:p w:rsidR="001D7C6C" w:rsidRPr="007619A5" w:rsidRDefault="001D7C6C" w:rsidP="007619A5">
      <w:pPr>
        <w:rPr>
          <w:lang w:val="en-US"/>
        </w:rPr>
      </w:pPr>
    </w:p>
    <w:p w:rsidR="008F691D" w:rsidRPr="0026086C" w:rsidRDefault="009B49C8" w:rsidP="0026086C">
      <w:pPr>
        <w:pStyle w:val="Caption"/>
        <w:rPr>
          <w:b w:val="0"/>
          <w:lang w:val="en-US"/>
        </w:rPr>
      </w:pPr>
      <w:bookmarkStart w:id="5" w:name="_Toc373924588"/>
      <w:r>
        <w:t xml:space="preserve">Table </w:t>
      </w:r>
      <w:r w:rsidR="00D3437B">
        <w:fldChar w:fldCharType="begin"/>
      </w:r>
      <w:r w:rsidR="00D3437B">
        <w:instrText xml:space="preserve"> SEQ Table \* ARABIC </w:instrText>
      </w:r>
      <w:r w:rsidR="00D3437B">
        <w:fldChar w:fldCharType="separate"/>
      </w:r>
      <w:r w:rsidR="00875985">
        <w:rPr>
          <w:noProof/>
        </w:rPr>
        <w:t>1</w:t>
      </w:r>
      <w:r w:rsidR="00D3437B">
        <w:rPr>
          <w:noProof/>
        </w:rPr>
        <w:fldChar w:fldCharType="end"/>
      </w:r>
      <w:r w:rsidR="00A8257B">
        <w:rPr>
          <w:b w:val="0"/>
          <w:lang w:val="en-US"/>
        </w:rPr>
        <w:t xml:space="preserve">: </w:t>
      </w:r>
      <w:r w:rsidR="00A8257B" w:rsidRPr="00B932F6">
        <w:rPr>
          <w:b w:val="0"/>
          <w:lang w:val="en-US"/>
        </w:rPr>
        <w:t>Number of organisations by artform classification</w:t>
      </w:r>
      <w:bookmarkEnd w:id="5"/>
    </w:p>
    <w:tbl>
      <w:tblPr>
        <w:tblStyle w:val="RFOTableFormat"/>
        <w:tblW w:w="8431" w:type="dxa"/>
        <w:tblInd w:w="108" w:type="dxa"/>
        <w:tblLayout w:type="fixed"/>
        <w:tblLook w:val="04A0" w:firstRow="1" w:lastRow="0" w:firstColumn="1" w:lastColumn="0" w:noHBand="0" w:noVBand="1"/>
      </w:tblPr>
      <w:tblGrid>
        <w:gridCol w:w="2493"/>
        <w:gridCol w:w="1935"/>
        <w:gridCol w:w="1985"/>
        <w:gridCol w:w="2018"/>
      </w:tblGrid>
      <w:tr w:rsidR="00A12853" w:rsidRPr="00631683" w:rsidTr="007E1772">
        <w:trPr>
          <w:cnfStyle w:val="100000000000" w:firstRow="1" w:lastRow="0" w:firstColumn="0" w:lastColumn="0" w:oddVBand="0" w:evenVBand="0" w:oddHBand="0" w:evenHBand="0" w:firstRowFirstColumn="0" w:firstRowLastColumn="0" w:lastRowFirstColumn="0" w:lastRowLastColumn="0"/>
          <w:trHeight w:val="255"/>
        </w:trPr>
        <w:tc>
          <w:tcPr>
            <w:tcW w:w="2493" w:type="dxa"/>
            <w:tcBorders>
              <w:right w:val="single" w:sz="4" w:space="0" w:color="auto"/>
            </w:tcBorders>
            <w:noWrap/>
            <w:hideMark/>
          </w:tcPr>
          <w:p w:rsidR="00A12853" w:rsidRPr="00631683" w:rsidRDefault="00A12853" w:rsidP="00AF20A9">
            <w:r w:rsidRPr="00631683">
              <w:t>Artform</w:t>
            </w:r>
          </w:p>
        </w:tc>
        <w:tc>
          <w:tcPr>
            <w:tcW w:w="1935" w:type="dxa"/>
            <w:tcBorders>
              <w:left w:val="single" w:sz="4" w:space="0" w:color="auto"/>
            </w:tcBorders>
            <w:noWrap/>
            <w:hideMark/>
          </w:tcPr>
          <w:p w:rsidR="00A12853" w:rsidRPr="00631683" w:rsidRDefault="00A12853" w:rsidP="00AF20A9">
            <w:r w:rsidRPr="00631683">
              <w:t>Number of regularly funded organisations</w:t>
            </w:r>
          </w:p>
        </w:tc>
        <w:tc>
          <w:tcPr>
            <w:tcW w:w="1985" w:type="dxa"/>
            <w:noWrap/>
            <w:hideMark/>
          </w:tcPr>
          <w:p w:rsidR="00A12853" w:rsidRPr="00631683" w:rsidRDefault="00A12853" w:rsidP="00AF20A9">
            <w:r w:rsidRPr="00631683">
              <w:t>Percentage o</w:t>
            </w:r>
            <w:r w:rsidR="00BC029D" w:rsidRPr="00631683">
              <w:t>f funding</w:t>
            </w:r>
          </w:p>
        </w:tc>
        <w:tc>
          <w:tcPr>
            <w:tcW w:w="2018" w:type="dxa"/>
            <w:noWrap/>
            <w:hideMark/>
          </w:tcPr>
          <w:p w:rsidR="00A12853" w:rsidRPr="00631683" w:rsidRDefault="00A12853" w:rsidP="00AF20A9">
            <w:r w:rsidRPr="00631683">
              <w:t>Percentage of organisations</w:t>
            </w:r>
          </w:p>
        </w:tc>
      </w:tr>
      <w:tr w:rsidR="0026086C" w:rsidRPr="00631683" w:rsidTr="007E1772">
        <w:trPr>
          <w:trHeight w:val="255"/>
        </w:trPr>
        <w:tc>
          <w:tcPr>
            <w:tcW w:w="2493" w:type="dxa"/>
            <w:tcBorders>
              <w:right w:val="single" w:sz="4" w:space="0" w:color="auto"/>
            </w:tcBorders>
            <w:noWrap/>
            <w:hideMark/>
          </w:tcPr>
          <w:p w:rsidR="0026086C" w:rsidRPr="00631683" w:rsidRDefault="0026086C" w:rsidP="00AF20A9">
            <w:r w:rsidRPr="00631683">
              <w:t>Combined Arts</w:t>
            </w:r>
          </w:p>
        </w:tc>
        <w:tc>
          <w:tcPr>
            <w:tcW w:w="1935" w:type="dxa"/>
            <w:tcBorders>
              <w:left w:val="single" w:sz="4" w:space="0" w:color="auto"/>
            </w:tcBorders>
            <w:noWrap/>
            <w:hideMark/>
          </w:tcPr>
          <w:p w:rsidR="0026086C" w:rsidRPr="00631683" w:rsidRDefault="0026086C" w:rsidP="00AF20A9">
            <w:r>
              <w:t>33</w:t>
            </w:r>
          </w:p>
        </w:tc>
        <w:tc>
          <w:tcPr>
            <w:tcW w:w="1985" w:type="dxa"/>
            <w:noWrap/>
            <w:hideMark/>
          </w:tcPr>
          <w:p w:rsidR="0026086C" w:rsidRDefault="0026086C" w:rsidP="00825C24">
            <w:pPr>
              <w:rPr>
                <w:rFonts w:ascii="Calibri" w:hAnsi="Calibri"/>
                <w:color w:val="000000"/>
                <w:sz w:val="22"/>
              </w:rPr>
            </w:pPr>
            <w:r>
              <w:rPr>
                <w:rFonts w:ascii="Calibri" w:hAnsi="Calibri"/>
                <w:color w:val="000000"/>
                <w:sz w:val="22"/>
              </w:rPr>
              <w:t>32</w:t>
            </w:r>
          </w:p>
        </w:tc>
        <w:tc>
          <w:tcPr>
            <w:tcW w:w="2018" w:type="dxa"/>
            <w:noWrap/>
            <w:hideMark/>
          </w:tcPr>
          <w:p w:rsidR="0026086C" w:rsidRDefault="008663B6" w:rsidP="00AF20A9">
            <w:pPr>
              <w:rPr>
                <w:rFonts w:ascii="Calibri" w:hAnsi="Calibri"/>
                <w:color w:val="000000"/>
                <w:sz w:val="22"/>
              </w:rPr>
            </w:pPr>
            <w:r>
              <w:rPr>
                <w:rFonts w:ascii="Calibri" w:hAnsi="Calibri"/>
                <w:color w:val="000000"/>
                <w:sz w:val="22"/>
              </w:rPr>
              <w:t>30</w:t>
            </w:r>
          </w:p>
        </w:tc>
      </w:tr>
      <w:tr w:rsidR="0026086C" w:rsidRPr="00631683" w:rsidTr="007E1772">
        <w:trPr>
          <w:trHeight w:val="255"/>
        </w:trPr>
        <w:tc>
          <w:tcPr>
            <w:tcW w:w="2493" w:type="dxa"/>
            <w:tcBorders>
              <w:right w:val="single" w:sz="4" w:space="0" w:color="auto"/>
            </w:tcBorders>
            <w:noWrap/>
            <w:hideMark/>
          </w:tcPr>
          <w:p w:rsidR="0026086C" w:rsidRPr="00631683" w:rsidRDefault="0026086C" w:rsidP="00AF20A9">
            <w:r w:rsidRPr="00631683">
              <w:t>Dance</w:t>
            </w:r>
          </w:p>
        </w:tc>
        <w:tc>
          <w:tcPr>
            <w:tcW w:w="1935" w:type="dxa"/>
            <w:tcBorders>
              <w:left w:val="single" w:sz="4" w:space="0" w:color="auto"/>
            </w:tcBorders>
            <w:noWrap/>
            <w:hideMark/>
          </w:tcPr>
          <w:p w:rsidR="0026086C" w:rsidRPr="00631683" w:rsidRDefault="0026086C" w:rsidP="00AF20A9">
            <w:r>
              <w:t>4</w:t>
            </w:r>
          </w:p>
        </w:tc>
        <w:tc>
          <w:tcPr>
            <w:tcW w:w="1985" w:type="dxa"/>
            <w:noWrap/>
            <w:hideMark/>
          </w:tcPr>
          <w:p w:rsidR="0026086C" w:rsidRDefault="0026086C" w:rsidP="00825C24">
            <w:pPr>
              <w:rPr>
                <w:rFonts w:ascii="Calibri" w:hAnsi="Calibri"/>
                <w:color w:val="000000"/>
                <w:sz w:val="22"/>
              </w:rPr>
            </w:pPr>
            <w:r>
              <w:rPr>
                <w:rFonts w:ascii="Calibri" w:hAnsi="Calibri"/>
                <w:color w:val="000000"/>
                <w:sz w:val="22"/>
              </w:rPr>
              <w:t>2</w:t>
            </w:r>
          </w:p>
        </w:tc>
        <w:tc>
          <w:tcPr>
            <w:tcW w:w="2018" w:type="dxa"/>
            <w:noWrap/>
            <w:hideMark/>
          </w:tcPr>
          <w:p w:rsidR="0026086C" w:rsidRDefault="008663B6" w:rsidP="00AF20A9">
            <w:pPr>
              <w:rPr>
                <w:rFonts w:ascii="Calibri" w:hAnsi="Calibri"/>
                <w:color w:val="000000"/>
                <w:sz w:val="22"/>
              </w:rPr>
            </w:pPr>
            <w:r>
              <w:rPr>
                <w:rFonts w:ascii="Calibri" w:hAnsi="Calibri"/>
                <w:color w:val="000000"/>
                <w:sz w:val="22"/>
              </w:rPr>
              <w:t>4</w:t>
            </w:r>
          </w:p>
        </w:tc>
      </w:tr>
      <w:tr w:rsidR="0026086C" w:rsidRPr="00631683" w:rsidTr="007E1772">
        <w:trPr>
          <w:trHeight w:val="255"/>
        </w:trPr>
        <w:tc>
          <w:tcPr>
            <w:tcW w:w="2493" w:type="dxa"/>
            <w:tcBorders>
              <w:right w:val="single" w:sz="4" w:space="0" w:color="auto"/>
            </w:tcBorders>
            <w:noWrap/>
          </w:tcPr>
          <w:p w:rsidR="0026086C" w:rsidRPr="00631683" w:rsidRDefault="0026086C" w:rsidP="00AF20A9">
            <w:r w:rsidRPr="00631683">
              <w:t>Drama</w:t>
            </w:r>
          </w:p>
        </w:tc>
        <w:tc>
          <w:tcPr>
            <w:tcW w:w="1935" w:type="dxa"/>
            <w:tcBorders>
              <w:left w:val="single" w:sz="4" w:space="0" w:color="auto"/>
            </w:tcBorders>
            <w:noWrap/>
          </w:tcPr>
          <w:p w:rsidR="0026086C" w:rsidRPr="00631683" w:rsidRDefault="0026086C" w:rsidP="00AF20A9">
            <w:r>
              <w:t>19</w:t>
            </w:r>
          </w:p>
        </w:tc>
        <w:tc>
          <w:tcPr>
            <w:tcW w:w="1985" w:type="dxa"/>
            <w:noWrap/>
          </w:tcPr>
          <w:p w:rsidR="0026086C" w:rsidRDefault="0026086C" w:rsidP="00825C24">
            <w:pPr>
              <w:rPr>
                <w:rFonts w:ascii="Calibri" w:hAnsi="Calibri"/>
                <w:color w:val="000000"/>
                <w:sz w:val="22"/>
              </w:rPr>
            </w:pPr>
            <w:r>
              <w:rPr>
                <w:rFonts w:ascii="Calibri" w:hAnsi="Calibri"/>
                <w:color w:val="000000"/>
                <w:sz w:val="22"/>
              </w:rPr>
              <w:t>24</w:t>
            </w:r>
          </w:p>
        </w:tc>
        <w:tc>
          <w:tcPr>
            <w:tcW w:w="2018" w:type="dxa"/>
            <w:noWrap/>
          </w:tcPr>
          <w:p w:rsidR="0026086C" w:rsidRDefault="008663B6" w:rsidP="00AF20A9">
            <w:pPr>
              <w:rPr>
                <w:rFonts w:ascii="Calibri" w:hAnsi="Calibri"/>
                <w:color w:val="000000"/>
                <w:sz w:val="22"/>
              </w:rPr>
            </w:pPr>
            <w:r>
              <w:rPr>
                <w:rFonts w:ascii="Calibri" w:hAnsi="Calibri"/>
                <w:color w:val="000000"/>
                <w:sz w:val="22"/>
              </w:rPr>
              <w:t>17</w:t>
            </w:r>
          </w:p>
        </w:tc>
      </w:tr>
      <w:tr w:rsidR="0026086C" w:rsidRPr="00631683" w:rsidTr="007E1772">
        <w:trPr>
          <w:trHeight w:val="255"/>
        </w:trPr>
        <w:tc>
          <w:tcPr>
            <w:tcW w:w="2493" w:type="dxa"/>
            <w:tcBorders>
              <w:right w:val="single" w:sz="4" w:space="0" w:color="auto"/>
            </w:tcBorders>
            <w:noWrap/>
          </w:tcPr>
          <w:p w:rsidR="0026086C" w:rsidRPr="00631683" w:rsidRDefault="0026086C" w:rsidP="00AF20A9">
            <w:r w:rsidRPr="00631683">
              <w:t>Literature</w:t>
            </w:r>
          </w:p>
        </w:tc>
        <w:tc>
          <w:tcPr>
            <w:tcW w:w="1935" w:type="dxa"/>
            <w:tcBorders>
              <w:left w:val="single" w:sz="4" w:space="0" w:color="auto"/>
            </w:tcBorders>
            <w:noWrap/>
          </w:tcPr>
          <w:p w:rsidR="0026086C" w:rsidRPr="00631683" w:rsidRDefault="0026086C" w:rsidP="00AF20A9">
            <w:r>
              <w:t>8</w:t>
            </w:r>
          </w:p>
        </w:tc>
        <w:tc>
          <w:tcPr>
            <w:tcW w:w="1985" w:type="dxa"/>
            <w:noWrap/>
          </w:tcPr>
          <w:p w:rsidR="0026086C" w:rsidRDefault="0026086C" w:rsidP="00825C24">
            <w:pPr>
              <w:rPr>
                <w:rFonts w:ascii="Calibri" w:hAnsi="Calibri"/>
                <w:color w:val="000000"/>
                <w:sz w:val="22"/>
              </w:rPr>
            </w:pPr>
            <w:r>
              <w:rPr>
                <w:rFonts w:ascii="Calibri" w:hAnsi="Calibri"/>
                <w:color w:val="000000"/>
                <w:sz w:val="22"/>
              </w:rPr>
              <w:t>4</w:t>
            </w:r>
          </w:p>
        </w:tc>
        <w:tc>
          <w:tcPr>
            <w:tcW w:w="2018" w:type="dxa"/>
            <w:noWrap/>
          </w:tcPr>
          <w:p w:rsidR="0026086C" w:rsidRDefault="008663B6" w:rsidP="00AF20A9">
            <w:pPr>
              <w:rPr>
                <w:rFonts w:ascii="Calibri" w:hAnsi="Calibri"/>
                <w:color w:val="000000"/>
                <w:sz w:val="22"/>
              </w:rPr>
            </w:pPr>
            <w:r>
              <w:rPr>
                <w:rFonts w:ascii="Calibri" w:hAnsi="Calibri"/>
                <w:color w:val="000000"/>
                <w:sz w:val="22"/>
              </w:rPr>
              <w:t>7</w:t>
            </w:r>
          </w:p>
        </w:tc>
      </w:tr>
      <w:tr w:rsidR="0026086C" w:rsidRPr="00631683" w:rsidTr="007E1772">
        <w:trPr>
          <w:trHeight w:val="255"/>
        </w:trPr>
        <w:tc>
          <w:tcPr>
            <w:tcW w:w="2493" w:type="dxa"/>
            <w:tcBorders>
              <w:right w:val="single" w:sz="4" w:space="0" w:color="auto"/>
            </w:tcBorders>
            <w:noWrap/>
          </w:tcPr>
          <w:p w:rsidR="0026086C" w:rsidRPr="00631683" w:rsidRDefault="0026086C" w:rsidP="00AF20A9">
            <w:r w:rsidRPr="00631683">
              <w:t>Music</w:t>
            </w:r>
          </w:p>
        </w:tc>
        <w:tc>
          <w:tcPr>
            <w:tcW w:w="1935" w:type="dxa"/>
            <w:tcBorders>
              <w:left w:val="single" w:sz="4" w:space="0" w:color="auto"/>
            </w:tcBorders>
            <w:noWrap/>
          </w:tcPr>
          <w:p w:rsidR="0026086C" w:rsidRPr="00631683" w:rsidRDefault="0026086C" w:rsidP="00AF20A9">
            <w:r>
              <w:t>11</w:t>
            </w:r>
          </w:p>
        </w:tc>
        <w:tc>
          <w:tcPr>
            <w:tcW w:w="1985" w:type="dxa"/>
            <w:noWrap/>
          </w:tcPr>
          <w:p w:rsidR="0026086C" w:rsidRDefault="0026086C" w:rsidP="00825C24">
            <w:pPr>
              <w:rPr>
                <w:rFonts w:ascii="Calibri" w:hAnsi="Calibri"/>
                <w:color w:val="000000"/>
                <w:sz w:val="22"/>
              </w:rPr>
            </w:pPr>
            <w:r>
              <w:rPr>
                <w:rFonts w:ascii="Calibri" w:hAnsi="Calibri"/>
                <w:color w:val="000000"/>
                <w:sz w:val="22"/>
              </w:rPr>
              <w:t>23</w:t>
            </w:r>
          </w:p>
        </w:tc>
        <w:tc>
          <w:tcPr>
            <w:tcW w:w="2018" w:type="dxa"/>
            <w:noWrap/>
          </w:tcPr>
          <w:p w:rsidR="0026086C" w:rsidRDefault="008663B6" w:rsidP="00AF20A9">
            <w:pPr>
              <w:rPr>
                <w:rFonts w:ascii="Calibri" w:hAnsi="Calibri"/>
                <w:color w:val="000000"/>
                <w:sz w:val="22"/>
              </w:rPr>
            </w:pPr>
            <w:r>
              <w:rPr>
                <w:rFonts w:ascii="Calibri" w:hAnsi="Calibri"/>
                <w:color w:val="000000"/>
                <w:sz w:val="22"/>
              </w:rPr>
              <w:t>10</w:t>
            </w:r>
          </w:p>
        </w:tc>
      </w:tr>
      <w:tr w:rsidR="0026086C" w:rsidRPr="00631683" w:rsidTr="007E1772">
        <w:trPr>
          <w:trHeight w:val="255"/>
        </w:trPr>
        <w:tc>
          <w:tcPr>
            <w:tcW w:w="2493" w:type="dxa"/>
            <w:tcBorders>
              <w:right w:val="single" w:sz="4" w:space="0" w:color="auto"/>
            </w:tcBorders>
            <w:noWrap/>
          </w:tcPr>
          <w:p w:rsidR="0026086C" w:rsidRPr="00631683" w:rsidRDefault="0026086C" w:rsidP="00AF20A9">
            <w:r w:rsidRPr="00631683">
              <w:t>Visual Arts</w:t>
            </w:r>
          </w:p>
        </w:tc>
        <w:tc>
          <w:tcPr>
            <w:tcW w:w="1935" w:type="dxa"/>
            <w:tcBorders>
              <w:left w:val="single" w:sz="4" w:space="0" w:color="auto"/>
            </w:tcBorders>
            <w:noWrap/>
          </w:tcPr>
          <w:p w:rsidR="0026086C" w:rsidRPr="00631683" w:rsidRDefault="0026086C" w:rsidP="00AF20A9">
            <w:r>
              <w:t>20</w:t>
            </w:r>
          </w:p>
        </w:tc>
        <w:tc>
          <w:tcPr>
            <w:tcW w:w="1985" w:type="dxa"/>
            <w:noWrap/>
          </w:tcPr>
          <w:p w:rsidR="0026086C" w:rsidRDefault="0026086C" w:rsidP="00825C24">
            <w:pPr>
              <w:rPr>
                <w:rFonts w:ascii="Calibri" w:hAnsi="Calibri"/>
                <w:color w:val="000000"/>
                <w:sz w:val="22"/>
              </w:rPr>
            </w:pPr>
            <w:r>
              <w:rPr>
                <w:rFonts w:ascii="Calibri" w:hAnsi="Calibri"/>
                <w:color w:val="000000"/>
                <w:sz w:val="22"/>
              </w:rPr>
              <w:t>4</w:t>
            </w:r>
          </w:p>
        </w:tc>
        <w:tc>
          <w:tcPr>
            <w:tcW w:w="2018" w:type="dxa"/>
            <w:noWrap/>
          </w:tcPr>
          <w:p w:rsidR="0026086C" w:rsidRDefault="008663B6" w:rsidP="00AF20A9">
            <w:pPr>
              <w:rPr>
                <w:rFonts w:ascii="Calibri" w:hAnsi="Calibri"/>
                <w:color w:val="000000"/>
                <w:sz w:val="22"/>
              </w:rPr>
            </w:pPr>
            <w:r>
              <w:rPr>
                <w:rFonts w:ascii="Calibri" w:hAnsi="Calibri"/>
                <w:color w:val="000000"/>
                <w:sz w:val="22"/>
              </w:rPr>
              <w:t>18</w:t>
            </w:r>
          </w:p>
        </w:tc>
      </w:tr>
      <w:tr w:rsidR="0026086C" w:rsidRPr="00631683" w:rsidTr="007E1772">
        <w:trPr>
          <w:trHeight w:val="255"/>
        </w:trPr>
        <w:tc>
          <w:tcPr>
            <w:tcW w:w="2493" w:type="dxa"/>
            <w:tcBorders>
              <w:bottom w:val="single" w:sz="4" w:space="0" w:color="auto"/>
              <w:right w:val="single" w:sz="4" w:space="0" w:color="auto"/>
            </w:tcBorders>
            <w:noWrap/>
          </w:tcPr>
          <w:p w:rsidR="0026086C" w:rsidRPr="00631683" w:rsidRDefault="0026086C" w:rsidP="00AF20A9">
            <w:r w:rsidRPr="00631683">
              <w:t>Traditional Arts</w:t>
            </w:r>
          </w:p>
        </w:tc>
        <w:tc>
          <w:tcPr>
            <w:tcW w:w="1935" w:type="dxa"/>
            <w:tcBorders>
              <w:left w:val="single" w:sz="4" w:space="0" w:color="auto"/>
              <w:bottom w:val="single" w:sz="4" w:space="0" w:color="auto"/>
            </w:tcBorders>
            <w:noWrap/>
          </w:tcPr>
          <w:p w:rsidR="0026086C" w:rsidRPr="00631683" w:rsidRDefault="0026086C" w:rsidP="00AF20A9">
            <w:r>
              <w:t>14</w:t>
            </w:r>
          </w:p>
        </w:tc>
        <w:tc>
          <w:tcPr>
            <w:tcW w:w="1985" w:type="dxa"/>
            <w:tcBorders>
              <w:bottom w:val="single" w:sz="4" w:space="0" w:color="auto"/>
            </w:tcBorders>
            <w:noWrap/>
          </w:tcPr>
          <w:p w:rsidR="0026086C" w:rsidRDefault="0026086C" w:rsidP="00825C24">
            <w:pPr>
              <w:rPr>
                <w:rFonts w:ascii="Calibri" w:hAnsi="Calibri"/>
                <w:color w:val="000000"/>
                <w:sz w:val="22"/>
              </w:rPr>
            </w:pPr>
            <w:r>
              <w:rPr>
                <w:rFonts w:ascii="Calibri" w:hAnsi="Calibri"/>
                <w:color w:val="000000"/>
                <w:sz w:val="22"/>
              </w:rPr>
              <w:t>10</w:t>
            </w:r>
          </w:p>
        </w:tc>
        <w:tc>
          <w:tcPr>
            <w:tcW w:w="2018" w:type="dxa"/>
            <w:tcBorders>
              <w:bottom w:val="single" w:sz="4" w:space="0" w:color="auto"/>
            </w:tcBorders>
            <w:noWrap/>
          </w:tcPr>
          <w:p w:rsidR="0026086C" w:rsidRDefault="008663B6" w:rsidP="00AF20A9">
            <w:pPr>
              <w:rPr>
                <w:rFonts w:ascii="Calibri" w:hAnsi="Calibri"/>
                <w:color w:val="000000"/>
                <w:sz w:val="22"/>
              </w:rPr>
            </w:pPr>
            <w:r>
              <w:rPr>
                <w:rFonts w:ascii="Calibri" w:hAnsi="Calibri"/>
                <w:color w:val="000000"/>
                <w:sz w:val="22"/>
              </w:rPr>
              <w:t>13</w:t>
            </w:r>
          </w:p>
        </w:tc>
      </w:tr>
      <w:tr w:rsidR="001A0A03" w:rsidRPr="001A0A03" w:rsidTr="007E1772">
        <w:trPr>
          <w:trHeight w:val="255"/>
        </w:trPr>
        <w:tc>
          <w:tcPr>
            <w:tcW w:w="2493" w:type="dxa"/>
            <w:tcBorders>
              <w:top w:val="single" w:sz="4" w:space="0" w:color="auto"/>
              <w:bottom w:val="single" w:sz="4" w:space="0" w:color="auto"/>
              <w:right w:val="single" w:sz="4" w:space="0" w:color="auto"/>
            </w:tcBorders>
            <w:noWrap/>
            <w:vAlign w:val="center"/>
          </w:tcPr>
          <w:p w:rsidR="001A0A03" w:rsidRPr="001A0A03" w:rsidRDefault="001A0A03" w:rsidP="00AF20A9">
            <w:r w:rsidRPr="001A0A03">
              <w:t>All artforms</w:t>
            </w:r>
          </w:p>
        </w:tc>
        <w:tc>
          <w:tcPr>
            <w:tcW w:w="1935" w:type="dxa"/>
            <w:tcBorders>
              <w:top w:val="single" w:sz="4" w:space="0" w:color="auto"/>
              <w:left w:val="single" w:sz="4" w:space="0" w:color="auto"/>
              <w:bottom w:val="single" w:sz="4" w:space="0" w:color="auto"/>
            </w:tcBorders>
            <w:noWrap/>
            <w:vAlign w:val="center"/>
          </w:tcPr>
          <w:p w:rsidR="001A0A03" w:rsidRPr="001A0A03" w:rsidRDefault="001A0A03" w:rsidP="00AF20A9">
            <w:r w:rsidRPr="001A0A03">
              <w:t>109</w:t>
            </w:r>
          </w:p>
        </w:tc>
        <w:tc>
          <w:tcPr>
            <w:tcW w:w="1985" w:type="dxa"/>
            <w:tcBorders>
              <w:top w:val="single" w:sz="4" w:space="0" w:color="auto"/>
              <w:bottom w:val="single" w:sz="4" w:space="0" w:color="auto"/>
            </w:tcBorders>
            <w:noWrap/>
            <w:vAlign w:val="center"/>
          </w:tcPr>
          <w:p w:rsidR="001A0A03" w:rsidRPr="001A0A03" w:rsidRDefault="001A0A03" w:rsidP="00AF20A9">
            <w:r w:rsidRPr="001A0A03">
              <w:t>100%</w:t>
            </w:r>
          </w:p>
        </w:tc>
        <w:tc>
          <w:tcPr>
            <w:tcW w:w="2018" w:type="dxa"/>
            <w:tcBorders>
              <w:top w:val="single" w:sz="4" w:space="0" w:color="auto"/>
              <w:bottom w:val="single" w:sz="4" w:space="0" w:color="auto"/>
            </w:tcBorders>
            <w:noWrap/>
            <w:vAlign w:val="center"/>
          </w:tcPr>
          <w:p w:rsidR="001A0A03" w:rsidRPr="001A0A03" w:rsidRDefault="001A0A03" w:rsidP="00AF20A9">
            <w:r w:rsidRPr="001A0A03">
              <w:t>100%</w:t>
            </w:r>
          </w:p>
        </w:tc>
      </w:tr>
    </w:tbl>
    <w:p w:rsidR="007C44C9" w:rsidRDefault="007C44C9" w:rsidP="00EE4664">
      <w:pPr>
        <w:rPr>
          <w:lang w:val="en-US"/>
        </w:rPr>
      </w:pPr>
    </w:p>
    <w:p w:rsidR="007C44C9" w:rsidRDefault="007C44C9" w:rsidP="00EE4664">
      <w:pPr>
        <w:rPr>
          <w:lang w:val="en-US"/>
        </w:rPr>
      </w:pPr>
    </w:p>
    <w:p w:rsidR="007C44C9" w:rsidRDefault="007C44C9" w:rsidP="00EE4664">
      <w:pPr>
        <w:rPr>
          <w:lang w:val="en-US"/>
        </w:rPr>
      </w:pPr>
    </w:p>
    <w:p w:rsidR="008B2F64" w:rsidRDefault="008B2F64">
      <w:pPr>
        <w:spacing w:after="200"/>
        <w:rPr>
          <w:lang w:val="en-US"/>
        </w:rPr>
      </w:pPr>
      <w:r>
        <w:rPr>
          <w:lang w:val="en-US"/>
        </w:rPr>
        <w:br w:type="page"/>
      </w:r>
    </w:p>
    <w:p w:rsidR="007C44C9" w:rsidRDefault="000A326E" w:rsidP="008B2F64">
      <w:pPr>
        <w:pStyle w:val="Heading1"/>
        <w:rPr>
          <w:lang w:val="en-US"/>
        </w:rPr>
      </w:pPr>
      <w:bookmarkStart w:id="6" w:name="_Toc403986345"/>
      <w:r>
        <w:rPr>
          <w:lang w:val="en-US"/>
        </w:rPr>
        <w:lastRenderedPageBreak/>
        <w:t>Staffing</w:t>
      </w:r>
      <w:bookmarkEnd w:id="6"/>
    </w:p>
    <w:p w:rsidR="007C44C9" w:rsidRDefault="007C44C9" w:rsidP="00EE4664">
      <w:pPr>
        <w:rPr>
          <w:lang w:val="en-US"/>
        </w:rPr>
      </w:pPr>
    </w:p>
    <w:p w:rsidR="005B0EF2" w:rsidRDefault="00B91132" w:rsidP="00EE4664">
      <w:pPr>
        <w:rPr>
          <w:lang w:val="en-US"/>
        </w:rPr>
      </w:pPr>
      <w:r>
        <w:rPr>
          <w:lang w:val="en-US"/>
        </w:rPr>
        <w:t>The full sample of r</w:t>
      </w:r>
      <w:r w:rsidR="008B2F64">
        <w:rPr>
          <w:lang w:val="en-US"/>
        </w:rPr>
        <w:t>egularly funded organisations</w:t>
      </w:r>
      <w:r w:rsidR="00FE2E75">
        <w:rPr>
          <w:lang w:val="en-US"/>
        </w:rPr>
        <w:t xml:space="preserve"> (N=109</w:t>
      </w:r>
      <w:r>
        <w:rPr>
          <w:lang w:val="en-US"/>
        </w:rPr>
        <w:t>)</w:t>
      </w:r>
      <w:r w:rsidR="008B2F64">
        <w:rPr>
          <w:lang w:val="en-US"/>
        </w:rPr>
        <w:t xml:space="preserve"> employed a total of 5,108 staff in 2013/14. 754 were permanent staff in either full-time or part-time capacity</w:t>
      </w:r>
      <w:r w:rsidR="005B0EF2">
        <w:rPr>
          <w:lang w:val="en-US"/>
        </w:rPr>
        <w:t xml:space="preserve"> and 4,354 were contract staff in either artistic or managerial positions.  In addition to this, 1,835 volunteers (both full-time and part-time</w:t>
      </w:r>
      <w:r w:rsidR="00825C24">
        <w:rPr>
          <w:lang w:val="en-US"/>
        </w:rPr>
        <w:t>)</w:t>
      </w:r>
      <w:r w:rsidR="005B0EF2">
        <w:rPr>
          <w:lang w:val="en-US"/>
        </w:rPr>
        <w:t xml:space="preserve"> gave their time to support and enhance the work of funded organisations. </w:t>
      </w:r>
    </w:p>
    <w:p w:rsidR="005B0EF2" w:rsidRDefault="005B0EF2" w:rsidP="00EE4664">
      <w:pPr>
        <w:rPr>
          <w:lang w:val="en-US"/>
        </w:rPr>
      </w:pPr>
    </w:p>
    <w:p w:rsidR="00112EE7" w:rsidRDefault="00B91132" w:rsidP="00EE4664">
      <w:pPr>
        <w:rPr>
          <w:lang w:val="en-US"/>
        </w:rPr>
      </w:pPr>
      <w:r>
        <w:rPr>
          <w:lang w:val="en-US"/>
        </w:rPr>
        <w:t>Based on a constant sample of organisations (N=94) between 2</w:t>
      </w:r>
      <w:r w:rsidR="0015673B">
        <w:rPr>
          <w:lang w:val="en-US"/>
        </w:rPr>
        <w:t>012/13 and 2013/14, there was a 2.8 percent decrease in permane</w:t>
      </w:r>
      <w:r w:rsidR="00FD13A1">
        <w:rPr>
          <w:lang w:val="en-US"/>
        </w:rPr>
        <w:t>nt staff, a 4.0 percent increase</w:t>
      </w:r>
      <w:r w:rsidR="0015673B">
        <w:rPr>
          <w:lang w:val="en-US"/>
        </w:rPr>
        <w:t xml:space="preserve"> in contract staff and a 1.3 percent increase in volunteers.</w:t>
      </w:r>
      <w:r w:rsidR="00024ABB">
        <w:rPr>
          <w:lang w:val="en-US"/>
        </w:rPr>
        <w:t xml:space="preserve">  </w:t>
      </w:r>
    </w:p>
    <w:p w:rsidR="00024ABB" w:rsidRDefault="00024ABB" w:rsidP="00EE4664">
      <w:pPr>
        <w:rPr>
          <w:lang w:val="en-US"/>
        </w:rPr>
      </w:pPr>
    </w:p>
    <w:p w:rsidR="0015673B" w:rsidRDefault="0015673B" w:rsidP="00EE4664">
      <w:pPr>
        <w:rPr>
          <w:lang w:val="en-US"/>
        </w:rPr>
      </w:pPr>
    </w:p>
    <w:p w:rsidR="000A326E" w:rsidRPr="009A3832" w:rsidRDefault="009A3832" w:rsidP="009A3832">
      <w:pPr>
        <w:pStyle w:val="Caption"/>
        <w:rPr>
          <w:b w:val="0"/>
          <w:lang w:val="en-US"/>
        </w:rPr>
      </w:pPr>
      <w:bookmarkStart w:id="7" w:name="_Toc402964757"/>
      <w:r>
        <w:t xml:space="preserve">Figure </w:t>
      </w:r>
      <w:r w:rsidR="00D3437B">
        <w:fldChar w:fldCharType="begin"/>
      </w:r>
      <w:r w:rsidR="00D3437B">
        <w:instrText xml:space="preserve"> SEQ Figure \* ARABIC </w:instrText>
      </w:r>
      <w:r w:rsidR="00D3437B">
        <w:fldChar w:fldCharType="separate"/>
      </w:r>
      <w:r w:rsidR="00875985">
        <w:rPr>
          <w:noProof/>
        </w:rPr>
        <w:t>1</w:t>
      </w:r>
      <w:r w:rsidR="00D3437B">
        <w:rPr>
          <w:noProof/>
        </w:rPr>
        <w:fldChar w:fldCharType="end"/>
      </w:r>
      <w:r>
        <w:t xml:space="preserve">: </w:t>
      </w:r>
      <w:r w:rsidR="002D448C" w:rsidRPr="009A3832">
        <w:rPr>
          <w:b w:val="0"/>
          <w:lang w:val="en-US"/>
        </w:rPr>
        <w:t>Comparison of staff numbers between 2012/13 and 2013/14, constant sample (N=94)</w:t>
      </w:r>
      <w:bookmarkEnd w:id="7"/>
    </w:p>
    <w:p w:rsidR="0015673B" w:rsidRDefault="000A326E" w:rsidP="00EE4664">
      <w:pPr>
        <w:rPr>
          <w:lang w:val="en-US"/>
        </w:rPr>
      </w:pPr>
      <w:r>
        <w:rPr>
          <w:noProof/>
          <w:lang w:eastAsia="en-GB"/>
        </w:rPr>
        <w:drawing>
          <wp:inline distT="0" distB="0" distL="0" distR="0" wp14:anchorId="784471F1" wp14:editId="74D42B6D">
            <wp:extent cx="4810125" cy="3009900"/>
            <wp:effectExtent l="0" t="0" r="9525"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B2F64" w:rsidRDefault="008B2F64">
      <w:pPr>
        <w:spacing w:after="200"/>
        <w:rPr>
          <w:lang w:val="en-US"/>
        </w:rPr>
      </w:pPr>
    </w:p>
    <w:p w:rsidR="002D448C" w:rsidRPr="002D448C" w:rsidRDefault="002D448C" w:rsidP="002D448C">
      <w:pPr>
        <w:spacing w:after="200"/>
        <w:rPr>
          <w:lang w:val="en-US"/>
        </w:rPr>
      </w:pPr>
      <w:r w:rsidRPr="002D448C">
        <w:rPr>
          <w:lang w:val="en-US"/>
        </w:rPr>
        <w:t>Of the permanent staff employed in 2013/14, a tota</w:t>
      </w:r>
      <w:r w:rsidR="00A8723D">
        <w:rPr>
          <w:lang w:val="en-US"/>
        </w:rPr>
        <w:t>l of 4</w:t>
      </w:r>
      <w:r w:rsidR="00AD55BC">
        <w:rPr>
          <w:lang w:val="en-US"/>
        </w:rPr>
        <w:t>4</w:t>
      </w:r>
      <w:r w:rsidR="00A8723D">
        <w:rPr>
          <w:lang w:val="en-US"/>
        </w:rPr>
        <w:t xml:space="preserve">2 worked full-time and </w:t>
      </w:r>
      <w:r w:rsidR="00AD55BC">
        <w:rPr>
          <w:lang w:val="en-US"/>
        </w:rPr>
        <w:t>312</w:t>
      </w:r>
      <w:r w:rsidRPr="002D448C">
        <w:rPr>
          <w:lang w:val="en-US"/>
        </w:rPr>
        <w:t xml:space="preserve"> part-time.  A comparison with the previous year (based on a constant sample of 94 organisations) indicates marginal reductions in the proportion of people employed in these capacities; 3.2 percent for full-time personnel and 2.3 percent for part-time personnel.   </w:t>
      </w:r>
    </w:p>
    <w:p w:rsidR="008B2F64" w:rsidRDefault="00D424DE">
      <w:pPr>
        <w:spacing w:after="200"/>
        <w:rPr>
          <w:lang w:val="en-US"/>
        </w:rPr>
      </w:pPr>
      <w:r>
        <w:rPr>
          <w:lang w:val="en-US"/>
        </w:rPr>
        <w:t>As can be seen in Figure 2</w:t>
      </w:r>
      <w:r w:rsidR="009807AB">
        <w:rPr>
          <w:lang w:val="en-US"/>
        </w:rPr>
        <w:t xml:space="preserve">, there was no change in the proportion of people employed on either a full-time and part-time basis </w:t>
      </w:r>
      <w:proofErr w:type="gramStart"/>
      <w:r w:rsidR="009807AB">
        <w:rPr>
          <w:lang w:val="en-US"/>
        </w:rPr>
        <w:t>between the two year, with the proportion of people employed on a full-time basis comprising 59 percent of staffing compl</w:t>
      </w:r>
      <w:r w:rsidR="00825C24">
        <w:rPr>
          <w:lang w:val="en-US"/>
        </w:rPr>
        <w:t>e</w:t>
      </w:r>
      <w:r w:rsidR="009807AB">
        <w:rPr>
          <w:lang w:val="en-US"/>
        </w:rPr>
        <w:t>ments</w:t>
      </w:r>
      <w:proofErr w:type="gramEnd"/>
      <w:r w:rsidR="009807AB">
        <w:rPr>
          <w:lang w:val="en-US"/>
        </w:rPr>
        <w:t>.</w:t>
      </w:r>
    </w:p>
    <w:p w:rsidR="009807AB" w:rsidRDefault="009807AB">
      <w:pPr>
        <w:spacing w:after="200"/>
        <w:rPr>
          <w:lang w:val="en-US"/>
        </w:rPr>
      </w:pPr>
    </w:p>
    <w:p w:rsidR="009807AB" w:rsidRDefault="009807AB">
      <w:pPr>
        <w:spacing w:after="200"/>
        <w:rPr>
          <w:lang w:val="en-US"/>
        </w:rPr>
      </w:pPr>
    </w:p>
    <w:p w:rsidR="009807AB" w:rsidRDefault="009807AB">
      <w:pPr>
        <w:spacing w:after="200"/>
        <w:rPr>
          <w:lang w:val="en-US"/>
        </w:rPr>
      </w:pPr>
    </w:p>
    <w:p w:rsidR="009807AB" w:rsidRDefault="009807AB">
      <w:pPr>
        <w:spacing w:after="200"/>
        <w:rPr>
          <w:lang w:val="en-US"/>
        </w:rPr>
      </w:pPr>
    </w:p>
    <w:p w:rsidR="009807AB" w:rsidRPr="009A3832" w:rsidRDefault="009A3832" w:rsidP="009A3832">
      <w:pPr>
        <w:pStyle w:val="Caption"/>
        <w:rPr>
          <w:b w:val="0"/>
          <w:lang w:val="en-US"/>
        </w:rPr>
      </w:pPr>
      <w:bookmarkStart w:id="8" w:name="_Toc402964758"/>
      <w:r>
        <w:lastRenderedPageBreak/>
        <w:t xml:space="preserve">Figure </w:t>
      </w:r>
      <w:r w:rsidR="00D3437B">
        <w:fldChar w:fldCharType="begin"/>
      </w:r>
      <w:r w:rsidR="00D3437B">
        <w:instrText xml:space="preserve"> SEQ Figure \* ARABIC </w:instrText>
      </w:r>
      <w:r w:rsidR="00D3437B">
        <w:fldChar w:fldCharType="separate"/>
      </w:r>
      <w:r w:rsidR="00875985">
        <w:rPr>
          <w:noProof/>
        </w:rPr>
        <w:t>2</w:t>
      </w:r>
      <w:r w:rsidR="00D3437B">
        <w:rPr>
          <w:noProof/>
        </w:rPr>
        <w:fldChar w:fldCharType="end"/>
      </w:r>
      <w:r>
        <w:t xml:space="preserve">: </w:t>
      </w:r>
      <w:r w:rsidR="009807AB" w:rsidRPr="009A3832">
        <w:rPr>
          <w:b w:val="0"/>
          <w:lang w:val="en-US"/>
        </w:rPr>
        <w:t>Breakdown of permanent staff in 2012/13 and 2013/14, constant sample (N=94)</w:t>
      </w:r>
      <w:bookmarkEnd w:id="8"/>
    </w:p>
    <w:p w:rsidR="008B2F64" w:rsidRDefault="009807AB">
      <w:pPr>
        <w:spacing w:after="200"/>
        <w:rPr>
          <w:rFonts w:asciiTheme="minorHAnsi" w:hAnsiTheme="minorHAnsi"/>
        </w:rPr>
      </w:pPr>
      <w:r>
        <w:rPr>
          <w:noProof/>
          <w:lang w:eastAsia="en-GB"/>
        </w:rPr>
        <w:drawing>
          <wp:inline distT="0" distB="0" distL="0" distR="0" wp14:anchorId="0A92DEA0" wp14:editId="3F735480">
            <wp:extent cx="5657850" cy="1876425"/>
            <wp:effectExtent l="0" t="0" r="1905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8B2F64">
        <w:rPr>
          <w:lang w:val="en-US"/>
        </w:rPr>
        <w:fldChar w:fldCharType="begin"/>
      </w:r>
      <w:r w:rsidR="008B2F64">
        <w:rPr>
          <w:lang w:val="en-US"/>
        </w:rPr>
        <w:instrText xml:space="preserve"> LINK Excel.Sheet.12 "\\\\fs0.acninet.local\\strategic_share\\Policy &amp; Research Team\\Survey Data Sets\\RFO\\RFO 1314\\1314 organisation\\Constant sample_updated 1314.xlsx" "allyear employment!R521C1:R524C2" \a \f 4 \h </w:instrText>
      </w:r>
      <w:r w:rsidR="008B2F64">
        <w:rPr>
          <w:lang w:val="en-US"/>
        </w:rPr>
        <w:fldChar w:fldCharType="separate"/>
      </w:r>
    </w:p>
    <w:p w:rsidR="00CD5C8B" w:rsidRDefault="008B2F64">
      <w:pPr>
        <w:spacing w:after="200"/>
        <w:rPr>
          <w:rFonts w:eastAsiaTheme="majorEastAsia" w:cstheme="majorBidi"/>
          <w:b/>
          <w:bCs/>
          <w:color w:val="000000" w:themeColor="text1"/>
          <w:sz w:val="28"/>
          <w:szCs w:val="28"/>
          <w:lang w:val="en-US"/>
        </w:rPr>
      </w:pPr>
      <w:r>
        <w:rPr>
          <w:lang w:val="en-US"/>
        </w:rPr>
        <w:fldChar w:fldCharType="end"/>
      </w:r>
      <w:r w:rsidR="00CD5C8B">
        <w:rPr>
          <w:lang w:val="en-US"/>
        </w:rPr>
        <w:br w:type="page"/>
      </w:r>
    </w:p>
    <w:p w:rsidR="00EE4664" w:rsidRDefault="00EE4664" w:rsidP="00EE4664">
      <w:pPr>
        <w:pStyle w:val="Heading1"/>
        <w:ind w:left="426" w:hanging="426"/>
        <w:rPr>
          <w:lang w:val="en-US"/>
        </w:rPr>
      </w:pPr>
      <w:bookmarkStart w:id="9" w:name="_Toc403986346"/>
      <w:r>
        <w:rPr>
          <w:lang w:val="en-US"/>
        </w:rPr>
        <w:lastRenderedPageBreak/>
        <w:t>Finance</w:t>
      </w:r>
      <w:bookmarkEnd w:id="9"/>
    </w:p>
    <w:p w:rsidR="003916B2" w:rsidRDefault="00631683" w:rsidP="00EE4664">
      <w:pPr>
        <w:rPr>
          <w:rFonts w:cs="Arial"/>
        </w:rPr>
      </w:pPr>
      <w:r>
        <w:rPr>
          <w:rFonts w:cs="Arial"/>
        </w:rPr>
        <w:t>Each organisation</w:t>
      </w:r>
      <w:r w:rsidR="00EE4664">
        <w:rPr>
          <w:rFonts w:cs="Arial"/>
        </w:rPr>
        <w:t xml:space="preserve"> in receipt of AFP </w:t>
      </w:r>
      <w:r w:rsidR="00EE4664" w:rsidRPr="00B57E1A">
        <w:rPr>
          <w:rFonts w:cs="Arial"/>
        </w:rPr>
        <w:t xml:space="preserve">funding </w:t>
      </w:r>
      <w:r w:rsidR="00B75D3C" w:rsidRPr="00B57E1A">
        <w:rPr>
          <w:rFonts w:cs="Arial"/>
        </w:rPr>
        <w:t>is</w:t>
      </w:r>
      <w:r w:rsidR="00EE4664" w:rsidRPr="00B57E1A">
        <w:rPr>
          <w:rFonts w:cs="Arial"/>
        </w:rPr>
        <w:t xml:space="preserve"> required to </w:t>
      </w:r>
      <w:r w:rsidR="00EE4664">
        <w:rPr>
          <w:rFonts w:cs="Arial"/>
        </w:rPr>
        <w:t>submit</w:t>
      </w:r>
      <w:r w:rsidR="00EE4664" w:rsidRPr="00B57E1A">
        <w:rPr>
          <w:rFonts w:cs="Arial"/>
        </w:rPr>
        <w:t xml:space="preserve"> details o</w:t>
      </w:r>
      <w:r w:rsidR="001A01FA">
        <w:rPr>
          <w:rFonts w:cs="Arial"/>
        </w:rPr>
        <w:t>f</w:t>
      </w:r>
      <w:r w:rsidR="00EE4664" w:rsidRPr="00B57E1A">
        <w:rPr>
          <w:rFonts w:cs="Arial"/>
        </w:rPr>
        <w:t xml:space="preserve"> income and expenditure </w:t>
      </w:r>
      <w:r w:rsidR="00B75D3C">
        <w:rPr>
          <w:rFonts w:cs="Arial"/>
        </w:rPr>
        <w:t>relating to the</w:t>
      </w:r>
      <w:r w:rsidR="00EE4664" w:rsidRPr="00B57E1A">
        <w:rPr>
          <w:rFonts w:cs="Arial"/>
        </w:rPr>
        <w:t xml:space="preserve"> financial year</w:t>
      </w:r>
      <w:r w:rsidR="0099763F">
        <w:rPr>
          <w:rFonts w:cs="Arial"/>
        </w:rPr>
        <w:t xml:space="preserve"> 1 April 2013 to 31 March 2014.  </w:t>
      </w:r>
      <w:r w:rsidR="0026698B">
        <w:rPr>
          <w:rFonts w:cs="Arial"/>
        </w:rPr>
        <w:t>All data in this section comes from each organisation’s actual or pro</w:t>
      </w:r>
      <w:r w:rsidR="00BE6111">
        <w:rPr>
          <w:rFonts w:cs="Arial"/>
        </w:rPr>
        <w:t xml:space="preserve">visional accounts for that period.  </w:t>
      </w:r>
      <w:r w:rsidR="003916B2">
        <w:rPr>
          <w:rFonts w:cs="Arial"/>
        </w:rPr>
        <w:t xml:space="preserve">In order to ensure </w:t>
      </w:r>
      <w:r w:rsidR="001A01FA">
        <w:rPr>
          <w:rFonts w:cs="Arial"/>
        </w:rPr>
        <w:t>consistency</w:t>
      </w:r>
      <w:r w:rsidR="003916B2">
        <w:rPr>
          <w:rFonts w:cs="Arial"/>
        </w:rPr>
        <w:t xml:space="preserve">, figures </w:t>
      </w:r>
      <w:r w:rsidR="007E6388">
        <w:rPr>
          <w:rFonts w:cs="Arial"/>
        </w:rPr>
        <w:t>relating to grant</w:t>
      </w:r>
      <w:r w:rsidR="001A01FA">
        <w:rPr>
          <w:rFonts w:cs="Arial"/>
        </w:rPr>
        <w:t>s</w:t>
      </w:r>
      <w:r w:rsidR="007E6388">
        <w:rPr>
          <w:rFonts w:cs="Arial"/>
        </w:rPr>
        <w:t xml:space="preserve"> awarded </w:t>
      </w:r>
      <w:r w:rsidR="001A01FA">
        <w:rPr>
          <w:rFonts w:cs="Arial"/>
        </w:rPr>
        <w:t>are</w:t>
      </w:r>
      <w:r w:rsidR="003916B2">
        <w:rPr>
          <w:rFonts w:cs="Arial"/>
        </w:rPr>
        <w:t xml:space="preserve"> taken from </w:t>
      </w:r>
      <w:r w:rsidR="007E6388">
        <w:rPr>
          <w:rFonts w:cs="Arial"/>
        </w:rPr>
        <w:t>the Arts Council’s own records</w:t>
      </w:r>
      <w:r w:rsidR="003916B2">
        <w:rPr>
          <w:rFonts w:cs="Arial"/>
        </w:rPr>
        <w:t>.</w:t>
      </w:r>
    </w:p>
    <w:p w:rsidR="003916B2" w:rsidRDefault="003916B2" w:rsidP="00EE4664">
      <w:pPr>
        <w:rPr>
          <w:rFonts w:cs="Arial"/>
        </w:rPr>
      </w:pPr>
    </w:p>
    <w:p w:rsidR="00EE4664" w:rsidRDefault="006F16AA" w:rsidP="006F16AA">
      <w:pPr>
        <w:pStyle w:val="Heading2"/>
      </w:pPr>
      <w:bookmarkStart w:id="10" w:name="_Toc403986347"/>
      <w:r>
        <w:t>Income</w:t>
      </w:r>
      <w:bookmarkEnd w:id="10"/>
    </w:p>
    <w:p w:rsidR="00842848" w:rsidRDefault="00D424DE" w:rsidP="00842848">
      <w:r>
        <w:t>Table 2</w:t>
      </w:r>
      <w:r w:rsidR="006553F0">
        <w:t xml:space="preserve"> shows the breakdown in income by </w:t>
      </w:r>
      <w:r w:rsidR="008F6418">
        <w:t>core category</w:t>
      </w:r>
      <w:r w:rsidR="006553F0">
        <w:t>.  Direct comparisons by artfor</w:t>
      </w:r>
      <w:r w:rsidR="00842848">
        <w:t xml:space="preserve">ms should be avoided due to </w:t>
      </w:r>
      <w:r w:rsidR="006553F0">
        <w:t>variability in the number and size of organis</w:t>
      </w:r>
      <w:r w:rsidR="00842848">
        <w:t>ations that comprise each artform.</w:t>
      </w:r>
      <w:r w:rsidR="00842848" w:rsidRPr="00842848">
        <w:t xml:space="preserve"> </w:t>
      </w:r>
      <w:r w:rsidR="00842848">
        <w:t xml:space="preserve">Total income for regularly funded organisation was £50.5m (including capital sources).  Excluding Capital sources, </w:t>
      </w:r>
      <w:r w:rsidR="00B56831">
        <w:t>total income equated to £48.1m.  The largest single source of income was generated from grant income (£26.0m) followed by earned income (£19.8m).</w:t>
      </w:r>
      <w:r w:rsidR="00842848">
        <w:t xml:space="preserve"> </w:t>
      </w:r>
    </w:p>
    <w:p w:rsidR="006553F0" w:rsidRDefault="006553F0" w:rsidP="006F16AA"/>
    <w:p w:rsidR="00D60DB8" w:rsidRDefault="009A3832" w:rsidP="009A3832">
      <w:pPr>
        <w:pStyle w:val="Caption"/>
        <w:rPr>
          <w:rFonts w:asciiTheme="minorHAnsi" w:hAnsiTheme="minorHAnsi"/>
        </w:rPr>
      </w:pPr>
      <w:r>
        <w:t xml:space="preserve">Table </w:t>
      </w:r>
      <w:r w:rsidR="00D3437B">
        <w:fldChar w:fldCharType="begin"/>
      </w:r>
      <w:r w:rsidR="00D3437B">
        <w:instrText xml:space="preserve"> SEQ Table \* ARABIC </w:instrText>
      </w:r>
      <w:r w:rsidR="00D3437B">
        <w:fldChar w:fldCharType="separate"/>
      </w:r>
      <w:r w:rsidR="00875985">
        <w:rPr>
          <w:noProof/>
        </w:rPr>
        <w:t>2</w:t>
      </w:r>
      <w:r w:rsidR="00D3437B">
        <w:rPr>
          <w:noProof/>
        </w:rPr>
        <w:fldChar w:fldCharType="end"/>
      </w:r>
      <w:r>
        <w:t xml:space="preserve">: </w:t>
      </w:r>
      <w:r w:rsidR="00D60DB8" w:rsidRPr="009A3832">
        <w:rPr>
          <w:b w:val="0"/>
        </w:rPr>
        <w:t>Breakdown of total income by category, 2013/14 (N=109)</w:t>
      </w:r>
      <w:r w:rsidR="00C575B3" w:rsidRPr="009A3832">
        <w:rPr>
          <w:b w:val="0"/>
        </w:rPr>
        <w:t xml:space="preserve"> (‘000)</w:t>
      </w:r>
      <w:r w:rsidR="00D60DB8">
        <w:fldChar w:fldCharType="begin"/>
      </w:r>
      <w:r w:rsidR="00D60DB8">
        <w:instrText xml:space="preserve"> LINK </w:instrText>
      </w:r>
      <w:r w:rsidR="00CC31FD">
        <w:instrText xml:space="preserve">Excel.Sheet.12 "\\\\fs0.acninet.local\\strategic_share\\Policy &amp; Research Team\\Survey Data Sets\\RFO\\RFO 1314\\1314 Finance\\1314 charts.xlsx" "Finance charts!R13C3:R21C8" </w:instrText>
      </w:r>
      <w:r w:rsidR="00D60DB8">
        <w:instrText xml:space="preserve">\a \f 5 \h  \* MERGEFORMAT </w:instrText>
      </w:r>
      <w:r w:rsidR="00D60DB8">
        <w:fldChar w:fldCharType="separate"/>
      </w:r>
    </w:p>
    <w:tbl>
      <w:tblPr>
        <w:tblStyle w:val="RFOTableFormat"/>
        <w:tblW w:w="8789" w:type="dxa"/>
        <w:tblInd w:w="108" w:type="dxa"/>
        <w:tblLayout w:type="fixed"/>
        <w:tblLook w:val="04A0" w:firstRow="1" w:lastRow="0" w:firstColumn="1" w:lastColumn="0" w:noHBand="0" w:noVBand="1"/>
      </w:tblPr>
      <w:tblGrid>
        <w:gridCol w:w="1652"/>
        <w:gridCol w:w="1427"/>
        <w:gridCol w:w="1427"/>
        <w:gridCol w:w="1428"/>
        <w:gridCol w:w="1427"/>
        <w:gridCol w:w="1428"/>
      </w:tblGrid>
      <w:tr w:rsidR="00D60DB8" w:rsidRPr="00D60DB8" w:rsidTr="00AA1D9C">
        <w:trPr>
          <w:cnfStyle w:val="100000000000" w:firstRow="1" w:lastRow="0" w:firstColumn="0" w:lastColumn="0" w:oddVBand="0" w:evenVBand="0" w:oddHBand="0" w:evenHBand="0" w:firstRowFirstColumn="0" w:firstRowLastColumn="0" w:lastRowFirstColumn="0" w:lastRowLastColumn="0"/>
          <w:trHeight w:val="600"/>
        </w:trPr>
        <w:tc>
          <w:tcPr>
            <w:tcW w:w="1652" w:type="dxa"/>
            <w:tcBorders>
              <w:right w:val="single" w:sz="4" w:space="0" w:color="auto"/>
            </w:tcBorders>
            <w:noWrap/>
            <w:hideMark/>
          </w:tcPr>
          <w:p w:rsidR="00D60DB8" w:rsidRPr="00D60DB8" w:rsidRDefault="00D60DB8" w:rsidP="00D60DB8"/>
        </w:tc>
        <w:tc>
          <w:tcPr>
            <w:tcW w:w="1427" w:type="dxa"/>
            <w:tcBorders>
              <w:left w:val="single" w:sz="4" w:space="0" w:color="auto"/>
            </w:tcBorders>
            <w:hideMark/>
          </w:tcPr>
          <w:p w:rsidR="00D60DB8" w:rsidRPr="00D60DB8" w:rsidRDefault="00D60DB8" w:rsidP="00D60DB8">
            <w:r w:rsidRPr="00D60DB8">
              <w:t>Grant Income</w:t>
            </w:r>
          </w:p>
        </w:tc>
        <w:tc>
          <w:tcPr>
            <w:tcW w:w="1427" w:type="dxa"/>
            <w:hideMark/>
          </w:tcPr>
          <w:p w:rsidR="00D60DB8" w:rsidRPr="00D60DB8" w:rsidRDefault="00D60DB8" w:rsidP="00D60DB8">
            <w:r w:rsidRPr="00D60DB8">
              <w:t>Earned Income</w:t>
            </w:r>
          </w:p>
        </w:tc>
        <w:tc>
          <w:tcPr>
            <w:tcW w:w="1428" w:type="dxa"/>
            <w:hideMark/>
          </w:tcPr>
          <w:p w:rsidR="00D60DB8" w:rsidRPr="00D60DB8" w:rsidRDefault="00D60DB8" w:rsidP="00D60DB8">
            <w:r w:rsidRPr="00D60DB8">
              <w:t>Contributed Income</w:t>
            </w:r>
          </w:p>
        </w:tc>
        <w:tc>
          <w:tcPr>
            <w:tcW w:w="1427" w:type="dxa"/>
            <w:hideMark/>
          </w:tcPr>
          <w:p w:rsidR="00D60DB8" w:rsidRPr="00D60DB8" w:rsidRDefault="00D60DB8" w:rsidP="00D60DB8">
            <w:r w:rsidRPr="00D60DB8">
              <w:t>Capital Income</w:t>
            </w:r>
          </w:p>
        </w:tc>
        <w:tc>
          <w:tcPr>
            <w:tcW w:w="1428" w:type="dxa"/>
            <w:hideMark/>
          </w:tcPr>
          <w:p w:rsidR="00D60DB8" w:rsidRPr="00D60DB8" w:rsidRDefault="00D60DB8" w:rsidP="00D60DB8">
            <w:r w:rsidRPr="00D60DB8">
              <w:t>Total Income</w:t>
            </w:r>
          </w:p>
        </w:tc>
      </w:tr>
      <w:tr w:rsidR="00D60DB8" w:rsidRPr="00D60DB8" w:rsidTr="00AA1D9C">
        <w:trPr>
          <w:trHeight w:val="300"/>
        </w:trPr>
        <w:tc>
          <w:tcPr>
            <w:tcW w:w="1652" w:type="dxa"/>
            <w:tcBorders>
              <w:right w:val="single" w:sz="4" w:space="0" w:color="auto"/>
            </w:tcBorders>
            <w:noWrap/>
            <w:hideMark/>
          </w:tcPr>
          <w:p w:rsidR="00D60DB8" w:rsidRPr="00D60DB8" w:rsidRDefault="00D60DB8" w:rsidP="00D60DB8">
            <w:r w:rsidRPr="00D60DB8">
              <w:t>Drama</w:t>
            </w:r>
          </w:p>
        </w:tc>
        <w:tc>
          <w:tcPr>
            <w:tcW w:w="1427" w:type="dxa"/>
            <w:tcBorders>
              <w:left w:val="single" w:sz="4" w:space="0" w:color="auto"/>
            </w:tcBorders>
            <w:noWrap/>
            <w:hideMark/>
          </w:tcPr>
          <w:p w:rsidR="00D60DB8" w:rsidRPr="00D60DB8" w:rsidRDefault="00D60DB8" w:rsidP="00D60DB8">
            <w:r w:rsidRPr="00D60DB8">
              <w:t>5,251</w:t>
            </w:r>
          </w:p>
        </w:tc>
        <w:tc>
          <w:tcPr>
            <w:tcW w:w="1427" w:type="dxa"/>
            <w:noWrap/>
            <w:hideMark/>
          </w:tcPr>
          <w:p w:rsidR="00D60DB8" w:rsidRPr="00D60DB8" w:rsidRDefault="00D60DB8" w:rsidP="00D60DB8">
            <w:r w:rsidRPr="00D60DB8">
              <w:t>9,208</w:t>
            </w:r>
          </w:p>
        </w:tc>
        <w:tc>
          <w:tcPr>
            <w:tcW w:w="1428" w:type="dxa"/>
            <w:noWrap/>
            <w:hideMark/>
          </w:tcPr>
          <w:p w:rsidR="00D60DB8" w:rsidRPr="00D60DB8" w:rsidRDefault="00D60DB8" w:rsidP="00D60DB8">
            <w:r w:rsidRPr="00D60DB8">
              <w:t>446</w:t>
            </w:r>
          </w:p>
        </w:tc>
        <w:tc>
          <w:tcPr>
            <w:tcW w:w="1427" w:type="dxa"/>
            <w:noWrap/>
            <w:hideMark/>
          </w:tcPr>
          <w:p w:rsidR="00D60DB8" w:rsidRPr="00D60DB8" w:rsidRDefault="00D60DB8" w:rsidP="00D60DB8">
            <w:r w:rsidRPr="00D60DB8">
              <w:t>96</w:t>
            </w:r>
          </w:p>
        </w:tc>
        <w:tc>
          <w:tcPr>
            <w:tcW w:w="1428" w:type="dxa"/>
            <w:noWrap/>
            <w:hideMark/>
          </w:tcPr>
          <w:p w:rsidR="00D60DB8" w:rsidRPr="00D60DB8" w:rsidRDefault="00D60DB8" w:rsidP="00D60DB8">
            <w:r w:rsidRPr="00D60DB8">
              <w:t>15,001</w:t>
            </w:r>
          </w:p>
        </w:tc>
      </w:tr>
      <w:tr w:rsidR="00D60DB8" w:rsidRPr="00D60DB8" w:rsidTr="00AA1D9C">
        <w:trPr>
          <w:trHeight w:val="300"/>
        </w:trPr>
        <w:tc>
          <w:tcPr>
            <w:tcW w:w="1652" w:type="dxa"/>
            <w:tcBorders>
              <w:right w:val="single" w:sz="4" w:space="0" w:color="auto"/>
            </w:tcBorders>
            <w:noWrap/>
            <w:hideMark/>
          </w:tcPr>
          <w:p w:rsidR="00D60DB8" w:rsidRPr="00D60DB8" w:rsidRDefault="00D60DB8" w:rsidP="00D60DB8">
            <w:r w:rsidRPr="00D60DB8">
              <w:t>Combined Arts</w:t>
            </w:r>
          </w:p>
        </w:tc>
        <w:tc>
          <w:tcPr>
            <w:tcW w:w="1427" w:type="dxa"/>
            <w:tcBorders>
              <w:left w:val="single" w:sz="4" w:space="0" w:color="auto"/>
            </w:tcBorders>
            <w:noWrap/>
            <w:hideMark/>
          </w:tcPr>
          <w:p w:rsidR="00D60DB8" w:rsidRPr="00D60DB8" w:rsidRDefault="00D60DB8" w:rsidP="00D60DB8">
            <w:r w:rsidRPr="00D60DB8">
              <w:t>11,021</w:t>
            </w:r>
          </w:p>
        </w:tc>
        <w:tc>
          <w:tcPr>
            <w:tcW w:w="1427" w:type="dxa"/>
            <w:noWrap/>
            <w:hideMark/>
          </w:tcPr>
          <w:p w:rsidR="00D60DB8" w:rsidRPr="00D60DB8" w:rsidRDefault="00D60DB8" w:rsidP="00D60DB8">
            <w:r w:rsidRPr="00D60DB8">
              <w:t>7,163</w:t>
            </w:r>
          </w:p>
        </w:tc>
        <w:tc>
          <w:tcPr>
            <w:tcW w:w="1428" w:type="dxa"/>
            <w:noWrap/>
            <w:hideMark/>
          </w:tcPr>
          <w:p w:rsidR="00D60DB8" w:rsidRPr="00D60DB8" w:rsidRDefault="00D60DB8" w:rsidP="00D60DB8">
            <w:r w:rsidRPr="00D60DB8">
              <w:t>946</w:t>
            </w:r>
          </w:p>
        </w:tc>
        <w:tc>
          <w:tcPr>
            <w:tcW w:w="1427" w:type="dxa"/>
            <w:noWrap/>
            <w:hideMark/>
          </w:tcPr>
          <w:p w:rsidR="00D60DB8" w:rsidRPr="00D60DB8" w:rsidRDefault="00D60DB8" w:rsidP="00D60DB8">
            <w:r w:rsidRPr="00D60DB8">
              <w:t>237</w:t>
            </w:r>
          </w:p>
        </w:tc>
        <w:tc>
          <w:tcPr>
            <w:tcW w:w="1428" w:type="dxa"/>
            <w:noWrap/>
            <w:hideMark/>
          </w:tcPr>
          <w:p w:rsidR="00D60DB8" w:rsidRPr="00D60DB8" w:rsidRDefault="00D60DB8" w:rsidP="00D60DB8">
            <w:r w:rsidRPr="00D60DB8">
              <w:t>19,367</w:t>
            </w:r>
          </w:p>
        </w:tc>
      </w:tr>
      <w:tr w:rsidR="00D60DB8" w:rsidRPr="00D60DB8" w:rsidTr="00AA1D9C">
        <w:trPr>
          <w:trHeight w:val="300"/>
        </w:trPr>
        <w:tc>
          <w:tcPr>
            <w:tcW w:w="1652" w:type="dxa"/>
            <w:tcBorders>
              <w:right w:val="single" w:sz="4" w:space="0" w:color="auto"/>
            </w:tcBorders>
            <w:noWrap/>
            <w:hideMark/>
          </w:tcPr>
          <w:p w:rsidR="00D60DB8" w:rsidRPr="00D60DB8" w:rsidRDefault="00D60DB8" w:rsidP="00D60DB8">
            <w:r w:rsidRPr="00D60DB8">
              <w:t>Music</w:t>
            </w:r>
          </w:p>
        </w:tc>
        <w:tc>
          <w:tcPr>
            <w:tcW w:w="1427" w:type="dxa"/>
            <w:tcBorders>
              <w:left w:val="single" w:sz="4" w:space="0" w:color="auto"/>
            </w:tcBorders>
            <w:noWrap/>
            <w:hideMark/>
          </w:tcPr>
          <w:p w:rsidR="00D60DB8" w:rsidRPr="00D60DB8" w:rsidRDefault="00D60DB8" w:rsidP="00D60DB8">
            <w:r w:rsidRPr="00D60DB8">
              <w:t>3,341</w:t>
            </w:r>
          </w:p>
        </w:tc>
        <w:tc>
          <w:tcPr>
            <w:tcW w:w="1427" w:type="dxa"/>
            <w:noWrap/>
            <w:hideMark/>
          </w:tcPr>
          <w:p w:rsidR="00D60DB8" w:rsidRPr="00D60DB8" w:rsidRDefault="00D60DB8" w:rsidP="00D60DB8">
            <w:r w:rsidRPr="00D60DB8">
              <w:t>1,346</w:t>
            </w:r>
          </w:p>
        </w:tc>
        <w:tc>
          <w:tcPr>
            <w:tcW w:w="1428" w:type="dxa"/>
            <w:noWrap/>
            <w:hideMark/>
          </w:tcPr>
          <w:p w:rsidR="00D60DB8" w:rsidRPr="00D60DB8" w:rsidRDefault="00D60DB8" w:rsidP="00D60DB8">
            <w:r w:rsidRPr="00D60DB8">
              <w:t>559</w:t>
            </w:r>
          </w:p>
        </w:tc>
        <w:tc>
          <w:tcPr>
            <w:tcW w:w="1427" w:type="dxa"/>
            <w:noWrap/>
            <w:hideMark/>
          </w:tcPr>
          <w:p w:rsidR="00D60DB8" w:rsidRPr="00D60DB8" w:rsidRDefault="00D60DB8" w:rsidP="00D60DB8">
            <w:r w:rsidRPr="00D60DB8">
              <w:t>1,256</w:t>
            </w:r>
          </w:p>
        </w:tc>
        <w:tc>
          <w:tcPr>
            <w:tcW w:w="1428" w:type="dxa"/>
            <w:noWrap/>
            <w:hideMark/>
          </w:tcPr>
          <w:p w:rsidR="00D60DB8" w:rsidRPr="00D60DB8" w:rsidRDefault="00D60DB8" w:rsidP="00D60DB8">
            <w:r w:rsidRPr="00D60DB8">
              <w:t>6,502</w:t>
            </w:r>
          </w:p>
        </w:tc>
      </w:tr>
      <w:tr w:rsidR="00D60DB8" w:rsidRPr="00D60DB8" w:rsidTr="00AA1D9C">
        <w:trPr>
          <w:trHeight w:val="300"/>
        </w:trPr>
        <w:tc>
          <w:tcPr>
            <w:tcW w:w="1652" w:type="dxa"/>
            <w:tcBorders>
              <w:right w:val="single" w:sz="4" w:space="0" w:color="auto"/>
            </w:tcBorders>
            <w:noWrap/>
            <w:hideMark/>
          </w:tcPr>
          <w:p w:rsidR="00D60DB8" w:rsidRPr="00D60DB8" w:rsidRDefault="00D60DB8" w:rsidP="00D60DB8">
            <w:r w:rsidRPr="00D60DB8">
              <w:t>Literature</w:t>
            </w:r>
          </w:p>
        </w:tc>
        <w:tc>
          <w:tcPr>
            <w:tcW w:w="1427" w:type="dxa"/>
            <w:tcBorders>
              <w:left w:val="single" w:sz="4" w:space="0" w:color="auto"/>
            </w:tcBorders>
            <w:noWrap/>
            <w:hideMark/>
          </w:tcPr>
          <w:p w:rsidR="00D60DB8" w:rsidRPr="00D60DB8" w:rsidRDefault="00D60DB8" w:rsidP="00D60DB8">
            <w:r w:rsidRPr="00D60DB8">
              <w:t>1,711</w:t>
            </w:r>
          </w:p>
        </w:tc>
        <w:tc>
          <w:tcPr>
            <w:tcW w:w="1427" w:type="dxa"/>
            <w:noWrap/>
            <w:hideMark/>
          </w:tcPr>
          <w:p w:rsidR="00D60DB8" w:rsidRPr="00D60DB8" w:rsidRDefault="00D60DB8" w:rsidP="00D60DB8">
            <w:r w:rsidRPr="00D60DB8">
              <w:t>680</w:t>
            </w:r>
          </w:p>
        </w:tc>
        <w:tc>
          <w:tcPr>
            <w:tcW w:w="1428" w:type="dxa"/>
            <w:noWrap/>
            <w:hideMark/>
          </w:tcPr>
          <w:p w:rsidR="00D60DB8" w:rsidRPr="00D60DB8" w:rsidRDefault="00D60DB8" w:rsidP="00D60DB8">
            <w:r w:rsidRPr="00D60DB8">
              <w:t>105</w:t>
            </w:r>
          </w:p>
        </w:tc>
        <w:tc>
          <w:tcPr>
            <w:tcW w:w="1427" w:type="dxa"/>
            <w:noWrap/>
            <w:hideMark/>
          </w:tcPr>
          <w:p w:rsidR="00D60DB8" w:rsidRPr="00D60DB8" w:rsidRDefault="00D60DB8" w:rsidP="00D60DB8">
            <w:r w:rsidRPr="00D60DB8">
              <w:t>238</w:t>
            </w:r>
          </w:p>
        </w:tc>
        <w:tc>
          <w:tcPr>
            <w:tcW w:w="1428" w:type="dxa"/>
            <w:noWrap/>
            <w:hideMark/>
          </w:tcPr>
          <w:p w:rsidR="00D60DB8" w:rsidRPr="00D60DB8" w:rsidRDefault="00D60DB8" w:rsidP="00D60DB8">
            <w:r w:rsidRPr="00D60DB8">
              <w:t>2,734</w:t>
            </w:r>
          </w:p>
        </w:tc>
      </w:tr>
      <w:tr w:rsidR="00D60DB8" w:rsidRPr="00D60DB8" w:rsidTr="00AA1D9C">
        <w:trPr>
          <w:trHeight w:val="300"/>
        </w:trPr>
        <w:tc>
          <w:tcPr>
            <w:tcW w:w="1652" w:type="dxa"/>
            <w:tcBorders>
              <w:right w:val="single" w:sz="4" w:space="0" w:color="auto"/>
            </w:tcBorders>
            <w:noWrap/>
            <w:hideMark/>
          </w:tcPr>
          <w:p w:rsidR="00D60DB8" w:rsidRPr="00D60DB8" w:rsidRDefault="00D60DB8" w:rsidP="00D60DB8">
            <w:r w:rsidRPr="00D60DB8">
              <w:t>Visual Arts</w:t>
            </w:r>
          </w:p>
        </w:tc>
        <w:tc>
          <w:tcPr>
            <w:tcW w:w="1427" w:type="dxa"/>
            <w:tcBorders>
              <w:left w:val="single" w:sz="4" w:space="0" w:color="auto"/>
            </w:tcBorders>
            <w:noWrap/>
            <w:hideMark/>
          </w:tcPr>
          <w:p w:rsidR="00D60DB8" w:rsidRPr="00D60DB8" w:rsidRDefault="00D60DB8" w:rsidP="00D60DB8">
            <w:r w:rsidRPr="00D60DB8">
              <w:t>2,499</w:t>
            </w:r>
          </w:p>
        </w:tc>
        <w:tc>
          <w:tcPr>
            <w:tcW w:w="1427" w:type="dxa"/>
            <w:noWrap/>
            <w:hideMark/>
          </w:tcPr>
          <w:p w:rsidR="00D60DB8" w:rsidRPr="00D60DB8" w:rsidRDefault="00D60DB8" w:rsidP="00D60DB8">
            <w:r w:rsidRPr="00D60DB8">
              <w:t>679</w:t>
            </w:r>
          </w:p>
        </w:tc>
        <w:tc>
          <w:tcPr>
            <w:tcW w:w="1428" w:type="dxa"/>
            <w:noWrap/>
            <w:hideMark/>
          </w:tcPr>
          <w:p w:rsidR="00D60DB8" w:rsidRPr="00D60DB8" w:rsidRDefault="00D60DB8" w:rsidP="00D60DB8">
            <w:r w:rsidRPr="00D60DB8">
              <w:t>146</w:t>
            </w:r>
          </w:p>
        </w:tc>
        <w:tc>
          <w:tcPr>
            <w:tcW w:w="1427" w:type="dxa"/>
            <w:noWrap/>
            <w:hideMark/>
          </w:tcPr>
          <w:p w:rsidR="00D60DB8" w:rsidRPr="00D60DB8" w:rsidRDefault="00D60DB8" w:rsidP="00D60DB8">
            <w:r w:rsidRPr="00D60DB8">
              <w:t>145</w:t>
            </w:r>
          </w:p>
        </w:tc>
        <w:tc>
          <w:tcPr>
            <w:tcW w:w="1428" w:type="dxa"/>
            <w:noWrap/>
            <w:hideMark/>
          </w:tcPr>
          <w:p w:rsidR="00D60DB8" w:rsidRPr="00D60DB8" w:rsidRDefault="00D60DB8" w:rsidP="00D60DB8">
            <w:r w:rsidRPr="00D60DB8">
              <w:t>3,470</w:t>
            </w:r>
          </w:p>
        </w:tc>
      </w:tr>
      <w:tr w:rsidR="00D60DB8" w:rsidRPr="00D60DB8" w:rsidTr="00AA1D9C">
        <w:trPr>
          <w:trHeight w:val="300"/>
        </w:trPr>
        <w:tc>
          <w:tcPr>
            <w:tcW w:w="1652" w:type="dxa"/>
            <w:tcBorders>
              <w:right w:val="single" w:sz="4" w:space="0" w:color="auto"/>
            </w:tcBorders>
            <w:noWrap/>
            <w:hideMark/>
          </w:tcPr>
          <w:p w:rsidR="00D60DB8" w:rsidRPr="00D60DB8" w:rsidRDefault="00D60DB8" w:rsidP="00D60DB8">
            <w:r w:rsidRPr="00D60DB8">
              <w:t>Traditional Arts</w:t>
            </w:r>
          </w:p>
        </w:tc>
        <w:tc>
          <w:tcPr>
            <w:tcW w:w="1427" w:type="dxa"/>
            <w:tcBorders>
              <w:left w:val="single" w:sz="4" w:space="0" w:color="auto"/>
            </w:tcBorders>
            <w:noWrap/>
            <w:hideMark/>
          </w:tcPr>
          <w:p w:rsidR="00D60DB8" w:rsidRPr="00D60DB8" w:rsidRDefault="00D60DB8" w:rsidP="00D60DB8">
            <w:r w:rsidRPr="00D60DB8">
              <w:t>1,782</w:t>
            </w:r>
          </w:p>
        </w:tc>
        <w:tc>
          <w:tcPr>
            <w:tcW w:w="1427" w:type="dxa"/>
            <w:noWrap/>
            <w:hideMark/>
          </w:tcPr>
          <w:p w:rsidR="00D60DB8" w:rsidRPr="00D60DB8" w:rsidRDefault="00D60DB8" w:rsidP="00D60DB8">
            <w:r w:rsidRPr="00D60DB8">
              <w:t>635</w:t>
            </w:r>
          </w:p>
        </w:tc>
        <w:tc>
          <w:tcPr>
            <w:tcW w:w="1428" w:type="dxa"/>
            <w:noWrap/>
            <w:hideMark/>
          </w:tcPr>
          <w:p w:rsidR="00D60DB8" w:rsidRPr="00D60DB8" w:rsidRDefault="00D60DB8" w:rsidP="00D60DB8">
            <w:r w:rsidRPr="00D60DB8">
              <w:t>41</w:t>
            </w:r>
          </w:p>
        </w:tc>
        <w:tc>
          <w:tcPr>
            <w:tcW w:w="1427" w:type="dxa"/>
            <w:noWrap/>
            <w:hideMark/>
          </w:tcPr>
          <w:p w:rsidR="00D60DB8" w:rsidRPr="00D60DB8" w:rsidRDefault="00D60DB8" w:rsidP="00D60DB8">
            <w:r w:rsidRPr="00D60DB8">
              <w:t>124</w:t>
            </w:r>
          </w:p>
        </w:tc>
        <w:tc>
          <w:tcPr>
            <w:tcW w:w="1428" w:type="dxa"/>
            <w:noWrap/>
            <w:hideMark/>
          </w:tcPr>
          <w:p w:rsidR="00D60DB8" w:rsidRPr="00D60DB8" w:rsidRDefault="00D60DB8" w:rsidP="00D60DB8">
            <w:r w:rsidRPr="00D60DB8">
              <w:t>2,582</w:t>
            </w:r>
          </w:p>
        </w:tc>
      </w:tr>
      <w:tr w:rsidR="00D60DB8" w:rsidRPr="00D60DB8" w:rsidTr="00AA1D9C">
        <w:trPr>
          <w:trHeight w:val="300"/>
        </w:trPr>
        <w:tc>
          <w:tcPr>
            <w:tcW w:w="1652" w:type="dxa"/>
            <w:tcBorders>
              <w:bottom w:val="single" w:sz="4" w:space="0" w:color="auto"/>
              <w:right w:val="single" w:sz="4" w:space="0" w:color="auto"/>
            </w:tcBorders>
            <w:noWrap/>
            <w:hideMark/>
          </w:tcPr>
          <w:p w:rsidR="00D60DB8" w:rsidRPr="00D60DB8" w:rsidRDefault="00D60DB8" w:rsidP="00D60DB8">
            <w:r w:rsidRPr="00D60DB8">
              <w:t>Dance</w:t>
            </w:r>
          </w:p>
        </w:tc>
        <w:tc>
          <w:tcPr>
            <w:tcW w:w="1427" w:type="dxa"/>
            <w:tcBorders>
              <w:left w:val="single" w:sz="4" w:space="0" w:color="auto"/>
              <w:bottom w:val="single" w:sz="4" w:space="0" w:color="auto"/>
            </w:tcBorders>
            <w:noWrap/>
            <w:hideMark/>
          </w:tcPr>
          <w:p w:rsidR="00D60DB8" w:rsidRPr="00D60DB8" w:rsidRDefault="00D60DB8" w:rsidP="00D60DB8">
            <w:r w:rsidRPr="00D60DB8">
              <w:t>484</w:t>
            </w:r>
          </w:p>
        </w:tc>
        <w:tc>
          <w:tcPr>
            <w:tcW w:w="1427" w:type="dxa"/>
            <w:tcBorders>
              <w:bottom w:val="single" w:sz="4" w:space="0" w:color="auto"/>
            </w:tcBorders>
            <w:noWrap/>
            <w:hideMark/>
          </w:tcPr>
          <w:p w:rsidR="00D60DB8" w:rsidRPr="00D60DB8" w:rsidRDefault="00D60DB8" w:rsidP="00D60DB8">
            <w:r w:rsidRPr="00D60DB8">
              <w:t>95</w:t>
            </w:r>
          </w:p>
        </w:tc>
        <w:tc>
          <w:tcPr>
            <w:tcW w:w="1428" w:type="dxa"/>
            <w:tcBorders>
              <w:bottom w:val="single" w:sz="4" w:space="0" w:color="auto"/>
            </w:tcBorders>
            <w:noWrap/>
            <w:hideMark/>
          </w:tcPr>
          <w:p w:rsidR="00D60DB8" w:rsidRPr="00D60DB8" w:rsidRDefault="00D60DB8" w:rsidP="00D60DB8">
            <w:r w:rsidRPr="00D60DB8">
              <w:t>60</w:t>
            </w:r>
          </w:p>
        </w:tc>
        <w:tc>
          <w:tcPr>
            <w:tcW w:w="1427" w:type="dxa"/>
            <w:tcBorders>
              <w:bottom w:val="single" w:sz="4" w:space="0" w:color="auto"/>
            </w:tcBorders>
            <w:noWrap/>
            <w:hideMark/>
          </w:tcPr>
          <w:p w:rsidR="00D60DB8" w:rsidRPr="00D60DB8" w:rsidRDefault="00D60DB8" w:rsidP="00D60DB8">
            <w:r w:rsidRPr="00D60DB8">
              <w:t>251</w:t>
            </w:r>
          </w:p>
        </w:tc>
        <w:tc>
          <w:tcPr>
            <w:tcW w:w="1428" w:type="dxa"/>
            <w:tcBorders>
              <w:bottom w:val="single" w:sz="4" w:space="0" w:color="auto"/>
            </w:tcBorders>
            <w:noWrap/>
            <w:hideMark/>
          </w:tcPr>
          <w:p w:rsidR="00D60DB8" w:rsidRPr="00D60DB8" w:rsidRDefault="00D60DB8" w:rsidP="00D60DB8">
            <w:r w:rsidRPr="00D60DB8">
              <w:t>891</w:t>
            </w:r>
          </w:p>
        </w:tc>
      </w:tr>
      <w:tr w:rsidR="00D60DB8" w:rsidRPr="00D60DB8" w:rsidTr="00AA1D9C">
        <w:trPr>
          <w:trHeight w:val="300"/>
        </w:trPr>
        <w:tc>
          <w:tcPr>
            <w:tcW w:w="1652" w:type="dxa"/>
            <w:tcBorders>
              <w:top w:val="single" w:sz="4" w:space="0" w:color="auto"/>
              <w:bottom w:val="single" w:sz="4" w:space="0" w:color="auto"/>
              <w:right w:val="single" w:sz="4" w:space="0" w:color="auto"/>
            </w:tcBorders>
            <w:noWrap/>
            <w:hideMark/>
          </w:tcPr>
          <w:p w:rsidR="00D60DB8" w:rsidRPr="00D60DB8" w:rsidRDefault="00D60DB8" w:rsidP="00D60DB8">
            <w:pPr>
              <w:rPr>
                <w:b/>
                <w:bCs/>
              </w:rPr>
            </w:pPr>
            <w:r w:rsidRPr="00D60DB8">
              <w:rPr>
                <w:b/>
                <w:bCs/>
              </w:rPr>
              <w:t>Total</w:t>
            </w:r>
          </w:p>
        </w:tc>
        <w:tc>
          <w:tcPr>
            <w:tcW w:w="1427" w:type="dxa"/>
            <w:tcBorders>
              <w:top w:val="single" w:sz="4" w:space="0" w:color="auto"/>
              <w:left w:val="single" w:sz="4" w:space="0" w:color="auto"/>
              <w:bottom w:val="single" w:sz="4" w:space="0" w:color="auto"/>
            </w:tcBorders>
            <w:noWrap/>
            <w:hideMark/>
          </w:tcPr>
          <w:p w:rsidR="00D60DB8" w:rsidRPr="00D60DB8" w:rsidRDefault="00D60DB8" w:rsidP="00D60DB8">
            <w:pPr>
              <w:rPr>
                <w:b/>
                <w:bCs/>
              </w:rPr>
            </w:pPr>
            <w:r w:rsidRPr="00D60DB8">
              <w:rPr>
                <w:b/>
                <w:bCs/>
              </w:rPr>
              <w:t>26,089</w:t>
            </w:r>
          </w:p>
        </w:tc>
        <w:tc>
          <w:tcPr>
            <w:tcW w:w="1427" w:type="dxa"/>
            <w:tcBorders>
              <w:top w:val="single" w:sz="4" w:space="0" w:color="auto"/>
              <w:bottom w:val="single" w:sz="4" w:space="0" w:color="auto"/>
            </w:tcBorders>
            <w:noWrap/>
            <w:hideMark/>
          </w:tcPr>
          <w:p w:rsidR="00D60DB8" w:rsidRPr="00D60DB8" w:rsidRDefault="00D60DB8" w:rsidP="00D60DB8">
            <w:pPr>
              <w:rPr>
                <w:b/>
                <w:bCs/>
              </w:rPr>
            </w:pPr>
            <w:r w:rsidRPr="00D60DB8">
              <w:rPr>
                <w:b/>
                <w:bCs/>
              </w:rPr>
              <w:t>19,805</w:t>
            </w:r>
          </w:p>
        </w:tc>
        <w:tc>
          <w:tcPr>
            <w:tcW w:w="1428" w:type="dxa"/>
            <w:tcBorders>
              <w:top w:val="single" w:sz="4" w:space="0" w:color="auto"/>
              <w:bottom w:val="single" w:sz="4" w:space="0" w:color="auto"/>
            </w:tcBorders>
            <w:noWrap/>
            <w:hideMark/>
          </w:tcPr>
          <w:p w:rsidR="00D60DB8" w:rsidRPr="00D60DB8" w:rsidRDefault="00D60DB8" w:rsidP="00D60DB8">
            <w:pPr>
              <w:rPr>
                <w:b/>
                <w:bCs/>
              </w:rPr>
            </w:pPr>
            <w:r w:rsidRPr="00D60DB8">
              <w:rPr>
                <w:b/>
                <w:bCs/>
              </w:rPr>
              <w:t>2,305</w:t>
            </w:r>
          </w:p>
        </w:tc>
        <w:tc>
          <w:tcPr>
            <w:tcW w:w="1427" w:type="dxa"/>
            <w:tcBorders>
              <w:top w:val="single" w:sz="4" w:space="0" w:color="auto"/>
              <w:bottom w:val="single" w:sz="4" w:space="0" w:color="auto"/>
            </w:tcBorders>
            <w:noWrap/>
            <w:hideMark/>
          </w:tcPr>
          <w:p w:rsidR="00D60DB8" w:rsidRPr="00D60DB8" w:rsidRDefault="00D60DB8" w:rsidP="00D60DB8">
            <w:pPr>
              <w:rPr>
                <w:b/>
                <w:bCs/>
              </w:rPr>
            </w:pPr>
            <w:r w:rsidRPr="00D60DB8">
              <w:rPr>
                <w:b/>
                <w:bCs/>
              </w:rPr>
              <w:t>2,348</w:t>
            </w:r>
          </w:p>
        </w:tc>
        <w:tc>
          <w:tcPr>
            <w:tcW w:w="1428" w:type="dxa"/>
            <w:tcBorders>
              <w:top w:val="single" w:sz="4" w:space="0" w:color="auto"/>
              <w:bottom w:val="single" w:sz="4" w:space="0" w:color="auto"/>
            </w:tcBorders>
            <w:noWrap/>
            <w:hideMark/>
          </w:tcPr>
          <w:p w:rsidR="00D60DB8" w:rsidRPr="00D60DB8" w:rsidRDefault="00D60DB8" w:rsidP="00D60DB8">
            <w:pPr>
              <w:rPr>
                <w:b/>
                <w:bCs/>
              </w:rPr>
            </w:pPr>
            <w:r w:rsidRPr="00D60DB8">
              <w:rPr>
                <w:b/>
                <w:bCs/>
              </w:rPr>
              <w:t>50,547</w:t>
            </w:r>
          </w:p>
        </w:tc>
      </w:tr>
    </w:tbl>
    <w:p w:rsidR="00F46942" w:rsidRDefault="00D60DB8" w:rsidP="0085043F">
      <w:r>
        <w:fldChar w:fldCharType="end"/>
      </w:r>
    </w:p>
    <w:p w:rsidR="00FC0BDA" w:rsidRDefault="00AA1D9C" w:rsidP="00FC0BDA">
      <w:pPr>
        <w:tabs>
          <w:tab w:val="left" w:pos="1590"/>
        </w:tabs>
      </w:pPr>
      <w:r>
        <w:t>Figure</w:t>
      </w:r>
      <w:r w:rsidR="00D424DE">
        <w:t xml:space="preserve"> </w:t>
      </w:r>
      <w:r w:rsidR="00825C24">
        <w:t xml:space="preserve">3 </w:t>
      </w:r>
      <w:r w:rsidR="00411D55">
        <w:t>shows the breakdown of income by artform.  With the exception of dr</w:t>
      </w:r>
      <w:r w:rsidR="00484094">
        <w:t>ama, grant income comprises the largest proportion total income f</w:t>
      </w:r>
      <w:r w:rsidR="00716E85">
        <w:t xml:space="preserve">or all artforms at 52 percent and ranges between 35 percent for Drama to 72 percent for Visual Arts. </w:t>
      </w:r>
    </w:p>
    <w:p w:rsidR="00716E85" w:rsidRDefault="00716E85"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C309F3" w:rsidRDefault="00C309F3" w:rsidP="00FC0BDA">
      <w:pPr>
        <w:tabs>
          <w:tab w:val="left" w:pos="1590"/>
        </w:tabs>
      </w:pPr>
    </w:p>
    <w:p w:rsidR="00842848" w:rsidRPr="009A3832" w:rsidRDefault="009A3832" w:rsidP="009A3832">
      <w:pPr>
        <w:pStyle w:val="Caption"/>
        <w:rPr>
          <w:b w:val="0"/>
        </w:rPr>
      </w:pPr>
      <w:bookmarkStart w:id="11" w:name="_Toc402964759"/>
      <w:r>
        <w:t xml:space="preserve">Figure </w:t>
      </w:r>
      <w:r w:rsidR="00D3437B">
        <w:fldChar w:fldCharType="begin"/>
      </w:r>
      <w:r w:rsidR="00D3437B">
        <w:instrText xml:space="preserve"> SEQ Figure \* ARABIC </w:instrText>
      </w:r>
      <w:r w:rsidR="00D3437B">
        <w:fldChar w:fldCharType="separate"/>
      </w:r>
      <w:r w:rsidR="00875985">
        <w:rPr>
          <w:noProof/>
        </w:rPr>
        <w:t>3</w:t>
      </w:r>
      <w:r w:rsidR="00D3437B">
        <w:rPr>
          <w:noProof/>
        </w:rPr>
        <w:fldChar w:fldCharType="end"/>
      </w:r>
      <w:r>
        <w:t xml:space="preserve">: </w:t>
      </w:r>
      <w:r w:rsidR="00A45D13" w:rsidRPr="009A3832">
        <w:rPr>
          <w:b w:val="0"/>
        </w:rPr>
        <w:t>Breakdown of total income by artform, 2013/14 (N=109)</w:t>
      </w:r>
      <w:bookmarkEnd w:id="11"/>
    </w:p>
    <w:p w:rsidR="00CC31FD" w:rsidRDefault="002D0F75" w:rsidP="0085043F">
      <w:r>
        <w:rPr>
          <w:noProof/>
          <w:lang w:eastAsia="en-GB"/>
        </w:rPr>
        <w:drawing>
          <wp:inline distT="0" distB="0" distL="0" distR="0" wp14:anchorId="467D8B11" wp14:editId="594CD97A">
            <wp:extent cx="5720316" cy="3732028"/>
            <wp:effectExtent l="0" t="0" r="13970" b="2095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C31FD" w:rsidRDefault="00CC31FD" w:rsidP="0085043F"/>
    <w:p w:rsidR="00A2491F" w:rsidRPr="00A2491F" w:rsidRDefault="00A2491F" w:rsidP="00A2491F">
      <w:r w:rsidRPr="00A2491F">
        <w:t xml:space="preserve">Overall, earned sources comprised 39 percent of income, ranging between 61 percent for </w:t>
      </w:r>
      <w:r w:rsidR="00684C19">
        <w:t>d</w:t>
      </w:r>
      <w:r w:rsidRPr="00A2491F">
        <w:t xml:space="preserve">rama to 11 percent for </w:t>
      </w:r>
      <w:r w:rsidR="00684C19">
        <w:t>d</w:t>
      </w:r>
      <w:r w:rsidRPr="00A2491F">
        <w:t>ance.  Combined contributed and capital income comprised 10 percent of overall income, with capital income contributing a significant source of income for Dance (28 percent).</w:t>
      </w:r>
    </w:p>
    <w:p w:rsidR="00CC31FD" w:rsidRDefault="00CC31FD" w:rsidP="0085043F"/>
    <w:p w:rsidR="006F168B" w:rsidRDefault="006F168B" w:rsidP="006F168B">
      <w:pPr>
        <w:pStyle w:val="Heading2"/>
      </w:pPr>
      <w:bookmarkStart w:id="12" w:name="_Toc403986348"/>
      <w:r>
        <w:t>Income changes since 2012/13</w:t>
      </w:r>
      <w:bookmarkEnd w:id="12"/>
    </w:p>
    <w:p w:rsidR="00C156C1" w:rsidRDefault="00C156C1" w:rsidP="00C156C1"/>
    <w:p w:rsidR="00C156C1" w:rsidRDefault="00D424DE" w:rsidP="00C156C1">
      <w:r>
        <w:t>Table 3</w:t>
      </w:r>
      <w:r w:rsidR="00C156C1">
        <w:t xml:space="preserve"> shows the percentage change in income between 2012/13 and 2013/14.  The comparison is based on a constant sample of 93 organisations.  </w:t>
      </w:r>
    </w:p>
    <w:p w:rsidR="000552BE" w:rsidRDefault="000552BE" w:rsidP="006F168B"/>
    <w:p w:rsidR="00E41DC0" w:rsidRDefault="009A3832" w:rsidP="009A3832">
      <w:pPr>
        <w:pStyle w:val="Caption"/>
        <w:rPr>
          <w:rFonts w:asciiTheme="minorHAnsi" w:hAnsiTheme="minorHAnsi"/>
        </w:rPr>
      </w:pPr>
      <w:proofErr w:type="gramStart"/>
      <w:r>
        <w:t xml:space="preserve">Table </w:t>
      </w:r>
      <w:proofErr w:type="gramEnd"/>
      <w:r w:rsidR="007E1772">
        <w:fldChar w:fldCharType="begin"/>
      </w:r>
      <w:r w:rsidR="007E1772">
        <w:instrText xml:space="preserve"> SEQ Table \* ARABIC </w:instrText>
      </w:r>
      <w:r w:rsidR="007E1772">
        <w:fldChar w:fldCharType="separate"/>
      </w:r>
      <w:r w:rsidR="00875985">
        <w:rPr>
          <w:noProof/>
        </w:rPr>
        <w:t>3</w:t>
      </w:r>
      <w:r w:rsidR="007E1772">
        <w:rPr>
          <w:noProof/>
        </w:rPr>
        <w:fldChar w:fldCharType="end"/>
      </w:r>
      <w:proofErr w:type="gramStart"/>
      <w:r>
        <w:t xml:space="preserve">: </w:t>
      </w:r>
      <w:r w:rsidR="000552BE" w:rsidRPr="009A3832">
        <w:rPr>
          <w:b w:val="0"/>
        </w:rPr>
        <w:t>Percentage change</w:t>
      </w:r>
      <w:r w:rsidR="00684C19">
        <w:rPr>
          <w:b w:val="0"/>
        </w:rPr>
        <w:t xml:space="preserve"> in</w:t>
      </w:r>
      <w:r w:rsidR="000552BE" w:rsidRPr="009A3832">
        <w:rPr>
          <w:b w:val="0"/>
        </w:rPr>
        <w:t xml:space="preserve"> income sources, 2012/13 and 2013/14.</w:t>
      </w:r>
      <w:proofErr w:type="gramEnd"/>
      <w:r w:rsidR="00A9401E" w:rsidRPr="009A3832">
        <w:rPr>
          <w:b w:val="0"/>
        </w:rPr>
        <w:t xml:space="preserve"> (‘000)</w:t>
      </w:r>
      <w:r w:rsidR="00E41DC0">
        <w:fldChar w:fldCharType="begin"/>
      </w:r>
      <w:r w:rsidR="00E41DC0">
        <w:instrText xml:space="preserve"> LINK Excel.Sheet.12 "\\\\fs0.acninet.local\\strategic_share\\Policy &amp; Research Team\\Survey Data Sets\\RFO\\RFO 1314\\1314 Finance\\1314 charts.xlsx" "Finance charts!R72C3:R76C6" \a \f 5 \h  \* MERGEFORMAT </w:instrText>
      </w:r>
      <w:r w:rsidR="00E41DC0">
        <w:fldChar w:fldCharType="separate"/>
      </w:r>
    </w:p>
    <w:tbl>
      <w:tblPr>
        <w:tblStyle w:val="RFOTableFormat"/>
        <w:tblW w:w="6992" w:type="dxa"/>
        <w:tblInd w:w="108" w:type="dxa"/>
        <w:tblLook w:val="04A0" w:firstRow="1" w:lastRow="0" w:firstColumn="1" w:lastColumn="0" w:noHBand="0" w:noVBand="1"/>
      </w:tblPr>
      <w:tblGrid>
        <w:gridCol w:w="1652"/>
        <w:gridCol w:w="2000"/>
        <w:gridCol w:w="1840"/>
        <w:gridCol w:w="1500"/>
      </w:tblGrid>
      <w:tr w:rsidR="00E41DC0" w:rsidRPr="00E41DC0" w:rsidTr="00684C19">
        <w:trPr>
          <w:cnfStyle w:val="100000000000" w:firstRow="1" w:lastRow="0" w:firstColumn="0" w:lastColumn="0" w:oddVBand="0" w:evenVBand="0" w:oddHBand="0" w:evenHBand="0" w:firstRowFirstColumn="0" w:firstRowLastColumn="0" w:lastRowFirstColumn="0" w:lastRowLastColumn="0"/>
          <w:trHeight w:val="300"/>
        </w:trPr>
        <w:tc>
          <w:tcPr>
            <w:tcW w:w="1652" w:type="dxa"/>
            <w:tcBorders>
              <w:right w:val="single" w:sz="4" w:space="0" w:color="auto"/>
            </w:tcBorders>
            <w:noWrap/>
            <w:hideMark/>
          </w:tcPr>
          <w:p w:rsidR="00E41DC0" w:rsidRPr="00E41DC0" w:rsidRDefault="00E41DC0"/>
        </w:tc>
        <w:tc>
          <w:tcPr>
            <w:tcW w:w="2000" w:type="dxa"/>
            <w:tcBorders>
              <w:left w:val="single" w:sz="4" w:space="0" w:color="auto"/>
            </w:tcBorders>
            <w:noWrap/>
            <w:hideMark/>
          </w:tcPr>
          <w:p w:rsidR="00E41DC0" w:rsidRPr="00E41DC0" w:rsidRDefault="000552BE">
            <w:r>
              <w:t>2012/</w:t>
            </w:r>
            <w:r w:rsidR="00E41DC0" w:rsidRPr="00E41DC0">
              <w:t>13</w:t>
            </w:r>
          </w:p>
        </w:tc>
        <w:tc>
          <w:tcPr>
            <w:tcW w:w="1840" w:type="dxa"/>
            <w:noWrap/>
            <w:hideMark/>
          </w:tcPr>
          <w:p w:rsidR="00E41DC0" w:rsidRPr="00E41DC0" w:rsidRDefault="00E41DC0">
            <w:r w:rsidRPr="00E41DC0">
              <w:t>20</w:t>
            </w:r>
            <w:r w:rsidR="000552BE">
              <w:t>13/</w:t>
            </w:r>
            <w:r w:rsidRPr="00E41DC0">
              <w:t>14</w:t>
            </w:r>
          </w:p>
        </w:tc>
        <w:tc>
          <w:tcPr>
            <w:tcW w:w="1500" w:type="dxa"/>
            <w:noWrap/>
            <w:hideMark/>
          </w:tcPr>
          <w:p w:rsidR="00E41DC0" w:rsidRPr="00E41DC0" w:rsidRDefault="00E41DC0">
            <w:r w:rsidRPr="00E41DC0">
              <w:t xml:space="preserve">% change </w:t>
            </w:r>
          </w:p>
        </w:tc>
      </w:tr>
      <w:tr w:rsidR="00E41DC0" w:rsidRPr="00E41DC0" w:rsidTr="00684C19">
        <w:trPr>
          <w:trHeight w:val="300"/>
        </w:trPr>
        <w:tc>
          <w:tcPr>
            <w:tcW w:w="1652" w:type="dxa"/>
            <w:tcBorders>
              <w:right w:val="single" w:sz="4" w:space="0" w:color="auto"/>
            </w:tcBorders>
            <w:noWrap/>
            <w:hideMark/>
          </w:tcPr>
          <w:p w:rsidR="00E41DC0" w:rsidRPr="00E41DC0" w:rsidRDefault="00E41DC0">
            <w:r w:rsidRPr="00E41DC0">
              <w:t>Grant</w:t>
            </w:r>
          </w:p>
        </w:tc>
        <w:tc>
          <w:tcPr>
            <w:tcW w:w="2000" w:type="dxa"/>
            <w:tcBorders>
              <w:left w:val="single" w:sz="4" w:space="0" w:color="auto"/>
            </w:tcBorders>
            <w:noWrap/>
            <w:hideMark/>
          </w:tcPr>
          <w:p w:rsidR="00E41DC0" w:rsidRPr="00E41DC0" w:rsidRDefault="00E41DC0">
            <w:r w:rsidRPr="00E41DC0">
              <w:t>25,716</w:t>
            </w:r>
          </w:p>
        </w:tc>
        <w:tc>
          <w:tcPr>
            <w:tcW w:w="1840" w:type="dxa"/>
            <w:noWrap/>
            <w:hideMark/>
          </w:tcPr>
          <w:p w:rsidR="00E41DC0" w:rsidRPr="00E41DC0" w:rsidRDefault="00E41DC0">
            <w:r w:rsidRPr="00E41DC0">
              <w:t>23,177</w:t>
            </w:r>
          </w:p>
        </w:tc>
        <w:tc>
          <w:tcPr>
            <w:tcW w:w="1500" w:type="dxa"/>
            <w:noWrap/>
            <w:hideMark/>
          </w:tcPr>
          <w:p w:rsidR="00E41DC0" w:rsidRPr="00E41DC0" w:rsidRDefault="00E41DC0">
            <w:r w:rsidRPr="00E41DC0">
              <w:t>-9.9</w:t>
            </w:r>
          </w:p>
        </w:tc>
      </w:tr>
      <w:tr w:rsidR="00E41DC0" w:rsidRPr="00E41DC0" w:rsidTr="00684C19">
        <w:trPr>
          <w:trHeight w:val="300"/>
        </w:trPr>
        <w:tc>
          <w:tcPr>
            <w:tcW w:w="1652" w:type="dxa"/>
            <w:tcBorders>
              <w:right w:val="single" w:sz="4" w:space="0" w:color="auto"/>
            </w:tcBorders>
            <w:noWrap/>
            <w:hideMark/>
          </w:tcPr>
          <w:p w:rsidR="00E41DC0" w:rsidRPr="00E41DC0" w:rsidRDefault="00E41DC0">
            <w:r w:rsidRPr="00E41DC0">
              <w:t>Earned</w:t>
            </w:r>
          </w:p>
        </w:tc>
        <w:tc>
          <w:tcPr>
            <w:tcW w:w="2000" w:type="dxa"/>
            <w:tcBorders>
              <w:left w:val="single" w:sz="4" w:space="0" w:color="auto"/>
            </w:tcBorders>
            <w:noWrap/>
            <w:hideMark/>
          </w:tcPr>
          <w:p w:rsidR="00E41DC0" w:rsidRPr="00E41DC0" w:rsidRDefault="00E41DC0">
            <w:r w:rsidRPr="00E41DC0">
              <w:t>17,097</w:t>
            </w:r>
          </w:p>
        </w:tc>
        <w:tc>
          <w:tcPr>
            <w:tcW w:w="1840" w:type="dxa"/>
            <w:noWrap/>
            <w:hideMark/>
          </w:tcPr>
          <w:p w:rsidR="00E41DC0" w:rsidRPr="00E41DC0" w:rsidRDefault="00E41DC0">
            <w:r w:rsidRPr="00E41DC0">
              <w:t>18,655</w:t>
            </w:r>
          </w:p>
        </w:tc>
        <w:tc>
          <w:tcPr>
            <w:tcW w:w="1500" w:type="dxa"/>
            <w:noWrap/>
            <w:hideMark/>
          </w:tcPr>
          <w:p w:rsidR="00E41DC0" w:rsidRPr="00E41DC0" w:rsidRDefault="00E41DC0">
            <w:r w:rsidRPr="00E41DC0">
              <w:t>9.1</w:t>
            </w:r>
          </w:p>
        </w:tc>
      </w:tr>
      <w:tr w:rsidR="00E41DC0" w:rsidRPr="00E41DC0" w:rsidTr="00684C19">
        <w:trPr>
          <w:trHeight w:val="300"/>
        </w:trPr>
        <w:tc>
          <w:tcPr>
            <w:tcW w:w="1652" w:type="dxa"/>
            <w:tcBorders>
              <w:bottom w:val="single" w:sz="4" w:space="0" w:color="auto"/>
              <w:right w:val="single" w:sz="4" w:space="0" w:color="auto"/>
            </w:tcBorders>
            <w:noWrap/>
            <w:hideMark/>
          </w:tcPr>
          <w:p w:rsidR="00E41DC0" w:rsidRPr="00E41DC0" w:rsidRDefault="00E41DC0">
            <w:r w:rsidRPr="00E41DC0">
              <w:t>Contributed</w:t>
            </w:r>
          </w:p>
        </w:tc>
        <w:tc>
          <w:tcPr>
            <w:tcW w:w="2000" w:type="dxa"/>
            <w:tcBorders>
              <w:left w:val="single" w:sz="4" w:space="0" w:color="auto"/>
              <w:bottom w:val="single" w:sz="4" w:space="0" w:color="auto"/>
            </w:tcBorders>
            <w:noWrap/>
            <w:hideMark/>
          </w:tcPr>
          <w:p w:rsidR="00E41DC0" w:rsidRPr="00E41DC0" w:rsidRDefault="00E41DC0">
            <w:r w:rsidRPr="00E41DC0">
              <w:t>1,887</w:t>
            </w:r>
          </w:p>
        </w:tc>
        <w:tc>
          <w:tcPr>
            <w:tcW w:w="1840" w:type="dxa"/>
            <w:tcBorders>
              <w:bottom w:val="single" w:sz="4" w:space="0" w:color="auto"/>
            </w:tcBorders>
            <w:noWrap/>
            <w:hideMark/>
          </w:tcPr>
          <w:p w:rsidR="00E41DC0" w:rsidRPr="00E41DC0" w:rsidRDefault="00E41DC0">
            <w:r w:rsidRPr="00E41DC0">
              <w:t>1,685</w:t>
            </w:r>
          </w:p>
        </w:tc>
        <w:tc>
          <w:tcPr>
            <w:tcW w:w="1500" w:type="dxa"/>
            <w:tcBorders>
              <w:bottom w:val="single" w:sz="4" w:space="0" w:color="auto"/>
            </w:tcBorders>
            <w:noWrap/>
            <w:hideMark/>
          </w:tcPr>
          <w:p w:rsidR="00E41DC0" w:rsidRPr="00E41DC0" w:rsidRDefault="00E41DC0">
            <w:r w:rsidRPr="00E41DC0">
              <w:t>-10.7</w:t>
            </w:r>
          </w:p>
        </w:tc>
      </w:tr>
      <w:tr w:rsidR="00E41DC0" w:rsidRPr="004B381E" w:rsidTr="00684C19">
        <w:trPr>
          <w:trHeight w:val="300"/>
        </w:trPr>
        <w:tc>
          <w:tcPr>
            <w:tcW w:w="1652" w:type="dxa"/>
            <w:tcBorders>
              <w:top w:val="single" w:sz="4" w:space="0" w:color="auto"/>
              <w:bottom w:val="single" w:sz="4" w:space="0" w:color="auto"/>
              <w:right w:val="single" w:sz="4" w:space="0" w:color="auto"/>
            </w:tcBorders>
            <w:noWrap/>
            <w:hideMark/>
          </w:tcPr>
          <w:p w:rsidR="00E41DC0" w:rsidRPr="000552BE" w:rsidRDefault="00E41DC0">
            <w:pPr>
              <w:rPr>
                <w:b/>
              </w:rPr>
            </w:pPr>
            <w:r w:rsidRPr="000552BE">
              <w:rPr>
                <w:b/>
              </w:rPr>
              <w:t>Overall</w:t>
            </w:r>
          </w:p>
        </w:tc>
        <w:tc>
          <w:tcPr>
            <w:tcW w:w="2000" w:type="dxa"/>
            <w:tcBorders>
              <w:top w:val="single" w:sz="4" w:space="0" w:color="auto"/>
              <w:left w:val="single" w:sz="4" w:space="0" w:color="auto"/>
              <w:bottom w:val="single" w:sz="4" w:space="0" w:color="auto"/>
            </w:tcBorders>
            <w:noWrap/>
            <w:hideMark/>
          </w:tcPr>
          <w:p w:rsidR="00E41DC0" w:rsidRPr="000552BE" w:rsidRDefault="00E41DC0">
            <w:pPr>
              <w:rPr>
                <w:b/>
              </w:rPr>
            </w:pPr>
            <w:r w:rsidRPr="000552BE">
              <w:rPr>
                <w:b/>
              </w:rPr>
              <w:t>45,987</w:t>
            </w:r>
          </w:p>
        </w:tc>
        <w:tc>
          <w:tcPr>
            <w:tcW w:w="1840" w:type="dxa"/>
            <w:tcBorders>
              <w:top w:val="single" w:sz="4" w:space="0" w:color="auto"/>
              <w:bottom w:val="single" w:sz="4" w:space="0" w:color="auto"/>
            </w:tcBorders>
            <w:noWrap/>
            <w:hideMark/>
          </w:tcPr>
          <w:p w:rsidR="00E41DC0" w:rsidRPr="000552BE" w:rsidRDefault="00E41DC0">
            <w:pPr>
              <w:rPr>
                <w:b/>
              </w:rPr>
            </w:pPr>
            <w:r w:rsidRPr="000552BE">
              <w:rPr>
                <w:b/>
              </w:rPr>
              <w:t>46,872</w:t>
            </w:r>
          </w:p>
        </w:tc>
        <w:tc>
          <w:tcPr>
            <w:tcW w:w="1500" w:type="dxa"/>
            <w:tcBorders>
              <w:top w:val="single" w:sz="4" w:space="0" w:color="auto"/>
              <w:bottom w:val="single" w:sz="4" w:space="0" w:color="auto"/>
            </w:tcBorders>
            <w:noWrap/>
            <w:hideMark/>
          </w:tcPr>
          <w:p w:rsidR="00E41DC0" w:rsidRPr="000552BE" w:rsidRDefault="00E41DC0">
            <w:pPr>
              <w:rPr>
                <w:b/>
              </w:rPr>
            </w:pPr>
            <w:r w:rsidRPr="000552BE">
              <w:rPr>
                <w:b/>
              </w:rPr>
              <w:t>1.9</w:t>
            </w:r>
          </w:p>
        </w:tc>
      </w:tr>
    </w:tbl>
    <w:p w:rsidR="009A3832" w:rsidRPr="009A3832" w:rsidRDefault="00E41DC0" w:rsidP="006F168B">
      <w:pPr>
        <w:rPr>
          <w:sz w:val="18"/>
          <w:szCs w:val="18"/>
        </w:rPr>
      </w:pPr>
      <w:r>
        <w:fldChar w:fldCharType="end"/>
      </w:r>
      <w:r w:rsidR="009A3832" w:rsidRPr="009A3832">
        <w:rPr>
          <w:sz w:val="18"/>
          <w:szCs w:val="18"/>
        </w:rPr>
        <w:t>Notes:</w:t>
      </w:r>
    </w:p>
    <w:p w:rsidR="00E41DC0" w:rsidRPr="009A3832" w:rsidRDefault="00752EFF" w:rsidP="009A3832">
      <w:pPr>
        <w:pStyle w:val="ListParagraph"/>
        <w:numPr>
          <w:ilvl w:val="0"/>
          <w:numId w:val="26"/>
        </w:numPr>
        <w:rPr>
          <w:sz w:val="18"/>
          <w:szCs w:val="18"/>
        </w:rPr>
      </w:pPr>
      <w:r w:rsidRPr="009A3832">
        <w:rPr>
          <w:sz w:val="18"/>
          <w:szCs w:val="18"/>
        </w:rPr>
        <w:t>Based on constant sample of 93</w:t>
      </w:r>
      <w:r w:rsidR="000552BE" w:rsidRPr="009A3832">
        <w:rPr>
          <w:sz w:val="18"/>
          <w:szCs w:val="18"/>
        </w:rPr>
        <w:t xml:space="preserve"> organisations</w:t>
      </w:r>
    </w:p>
    <w:p w:rsidR="00752EFF" w:rsidRPr="009A3832" w:rsidRDefault="00752EFF" w:rsidP="009A3832">
      <w:pPr>
        <w:pStyle w:val="ListParagraph"/>
        <w:numPr>
          <w:ilvl w:val="0"/>
          <w:numId w:val="26"/>
        </w:numPr>
        <w:rPr>
          <w:sz w:val="18"/>
          <w:szCs w:val="18"/>
        </w:rPr>
      </w:pPr>
      <w:r w:rsidRPr="009A3832">
        <w:rPr>
          <w:sz w:val="18"/>
          <w:szCs w:val="18"/>
        </w:rPr>
        <w:t>Excludes capital income</w:t>
      </w:r>
    </w:p>
    <w:p w:rsidR="00CC31FD" w:rsidRDefault="00CC31FD" w:rsidP="0085043F"/>
    <w:p w:rsidR="00E16C26" w:rsidRDefault="00752EFF" w:rsidP="00E16C26">
      <w:r>
        <w:t>Total income inc</w:t>
      </w:r>
      <w:r w:rsidR="00913DE4">
        <w:t xml:space="preserve">reased by 1.9 percent </w:t>
      </w:r>
      <w:r w:rsidR="00913DE4" w:rsidRPr="00913DE4">
        <w:t>between 2012/13 and 2013/14</w:t>
      </w:r>
      <w:r w:rsidR="00477E6C">
        <w:t>.  Grant income fell by nearly 10 percent (£2.5m) but was offset by a corresponding increase in the proportion of Earned income</w:t>
      </w:r>
      <w:r w:rsidR="00E16C26">
        <w:t xml:space="preserve"> generated</w:t>
      </w:r>
      <w:r w:rsidR="0042640D">
        <w:t>.  This</w:t>
      </w:r>
      <w:r w:rsidR="00477E6C">
        <w:t xml:space="preserve"> increased by 9 percent (</w:t>
      </w:r>
      <w:r w:rsidR="00E16C26">
        <w:t>£1.5m)</w:t>
      </w:r>
      <w:r w:rsidR="00046FB7">
        <w:t xml:space="preserve"> between the two periods</w:t>
      </w:r>
      <w:r w:rsidR="00E16C26">
        <w:t xml:space="preserve">.  </w:t>
      </w:r>
      <w:r w:rsidR="00E16C26">
        <w:lastRenderedPageBreak/>
        <w:t>There was also a reducti</w:t>
      </w:r>
      <w:r w:rsidR="008E49ED">
        <w:t xml:space="preserve">on of 11 percent in </w:t>
      </w:r>
      <w:r w:rsidR="00E16C26">
        <w:t>contri</w:t>
      </w:r>
      <w:r w:rsidR="0029493E">
        <w:t>buted</w:t>
      </w:r>
      <w:r w:rsidR="008E49ED">
        <w:rPr>
          <w:rStyle w:val="FootnoteReference"/>
        </w:rPr>
        <w:footnoteReference w:id="3"/>
      </w:r>
      <w:r w:rsidR="0029493E">
        <w:t xml:space="preserve"> </w:t>
      </w:r>
      <w:r w:rsidR="008E49ED">
        <w:t>income</w:t>
      </w:r>
      <w:r w:rsidR="0029493E">
        <w:t xml:space="preserve">, although the </w:t>
      </w:r>
      <w:r w:rsidR="008E49ED">
        <w:t>amount</w:t>
      </w:r>
      <w:r w:rsidR="0029493E">
        <w:t xml:space="preserve"> accrued </w:t>
      </w:r>
      <w:r w:rsidR="00480893">
        <w:t xml:space="preserve">was relatively small when compared </w:t>
      </w:r>
      <w:r w:rsidR="008E49ED">
        <w:t>to that</w:t>
      </w:r>
      <w:r w:rsidR="0042640D">
        <w:t xml:space="preserve"> generated from Grant and E</w:t>
      </w:r>
      <w:r w:rsidR="008E49ED">
        <w:t>arned sources</w:t>
      </w:r>
      <w:r w:rsidR="00C10DB0">
        <w:t>.</w:t>
      </w:r>
    </w:p>
    <w:p w:rsidR="00CC31FD" w:rsidRDefault="00CC31FD" w:rsidP="0085043F"/>
    <w:p w:rsidR="002F2134" w:rsidRDefault="00C10DB0" w:rsidP="00C10DB0">
      <w:pPr>
        <w:pStyle w:val="Heading2"/>
      </w:pPr>
      <w:bookmarkStart w:id="13" w:name="_Toc403986349"/>
      <w:r>
        <w:t>Expenditure</w:t>
      </w:r>
      <w:bookmarkEnd w:id="13"/>
    </w:p>
    <w:p w:rsidR="00C10DB0" w:rsidRPr="00C10DB0" w:rsidRDefault="00C10DB0" w:rsidP="00C10DB0"/>
    <w:p w:rsidR="00D62FCD" w:rsidRDefault="00D424DE" w:rsidP="00D62FCD">
      <w:r>
        <w:t>Table 4</w:t>
      </w:r>
      <w:r w:rsidR="00D62FCD">
        <w:t xml:space="preserve"> shows the breakdown in expenditure by the two main categories,</w:t>
      </w:r>
      <w:r w:rsidR="00645E70">
        <w:t xml:space="preserve"> core and programme.  Organisations in the 2013/14 portfolio spent £50.0m, slightly less than combined income.  </w:t>
      </w:r>
    </w:p>
    <w:p w:rsidR="00D62FCD" w:rsidRDefault="00D62FCD" w:rsidP="00D62FCD"/>
    <w:p w:rsidR="00645E70" w:rsidRPr="00645E70" w:rsidRDefault="00645E70" w:rsidP="00645E70">
      <w:r w:rsidRPr="00645E70">
        <w:t>Core costs relate to day-to-day outgoings that keep the business functioning including administrative costs such as rent and rates, light</w:t>
      </w:r>
      <w:r>
        <w:t>ing</w:t>
      </w:r>
      <w:r w:rsidRPr="00645E70">
        <w:t xml:space="preserve"> and heat</w:t>
      </w:r>
      <w:r>
        <w:t>ing.</w:t>
      </w:r>
      <w:r w:rsidRPr="00645E70">
        <w:t xml:space="preserve"> Programming costs on the other hand, relate to costs incurred in delivering the artistic product or main programme of activity such as artists’ costs, volunteer expenses, publicity and marketing.</w:t>
      </w:r>
    </w:p>
    <w:p w:rsidR="00D62FCD" w:rsidRDefault="00D62FCD" w:rsidP="00D62FCD"/>
    <w:p w:rsidR="00F32CF7" w:rsidRDefault="009A3832" w:rsidP="009A3832">
      <w:pPr>
        <w:pStyle w:val="Caption"/>
        <w:rPr>
          <w:rFonts w:asciiTheme="minorHAnsi" w:hAnsiTheme="minorHAnsi"/>
        </w:rPr>
      </w:pPr>
      <w:r>
        <w:t xml:space="preserve">Table </w:t>
      </w:r>
      <w:r w:rsidR="00D3437B">
        <w:fldChar w:fldCharType="begin"/>
      </w:r>
      <w:r w:rsidR="00D3437B">
        <w:instrText xml:space="preserve"> SEQ Table \* ARABIC </w:instrText>
      </w:r>
      <w:r w:rsidR="00D3437B">
        <w:fldChar w:fldCharType="separate"/>
      </w:r>
      <w:r w:rsidR="00875985">
        <w:rPr>
          <w:noProof/>
        </w:rPr>
        <w:t>4</w:t>
      </w:r>
      <w:r w:rsidR="00D3437B">
        <w:rPr>
          <w:noProof/>
        </w:rPr>
        <w:fldChar w:fldCharType="end"/>
      </w:r>
      <w:r>
        <w:t xml:space="preserve">: </w:t>
      </w:r>
      <w:r w:rsidR="00F32CF7" w:rsidRPr="009A3832">
        <w:rPr>
          <w:b w:val="0"/>
        </w:rPr>
        <w:t>Breakdown of expenditure by category, 2013/14 (N=109) (‘000)</w:t>
      </w:r>
      <w:r w:rsidR="00F32CF7">
        <w:fldChar w:fldCharType="begin"/>
      </w:r>
      <w:r w:rsidR="00F32CF7">
        <w:instrText xml:space="preserve"> LINK Excel.Sheet.12 "\\\\fs0.acninet.local\\strategic_share\\Policy &amp; Research Team\\Survey Data Sets\\RFO\\RFO 1314\\1314 Finance\\1314 charts.xlsx" "Finance charts!R91C3:R99C6" \a \f 5 \h  \* MERGEFORMAT </w:instrText>
      </w:r>
      <w:r w:rsidR="00F32CF7">
        <w:fldChar w:fldCharType="separate"/>
      </w:r>
    </w:p>
    <w:tbl>
      <w:tblPr>
        <w:tblStyle w:val="RFOTableFormat"/>
        <w:tblW w:w="7404" w:type="dxa"/>
        <w:tblInd w:w="108" w:type="dxa"/>
        <w:tblLook w:val="04A0" w:firstRow="1" w:lastRow="0" w:firstColumn="1" w:lastColumn="0" w:noHBand="0" w:noVBand="1"/>
      </w:tblPr>
      <w:tblGrid>
        <w:gridCol w:w="1735"/>
        <w:gridCol w:w="1809"/>
        <w:gridCol w:w="1840"/>
        <w:gridCol w:w="2020"/>
      </w:tblGrid>
      <w:tr w:rsidR="00F32CF7" w:rsidRPr="00F32CF7" w:rsidTr="00684C19">
        <w:trPr>
          <w:cnfStyle w:val="100000000000" w:firstRow="1" w:lastRow="0" w:firstColumn="0" w:lastColumn="0" w:oddVBand="0" w:evenVBand="0" w:oddHBand="0" w:evenHBand="0" w:firstRowFirstColumn="0" w:firstRowLastColumn="0" w:lastRowFirstColumn="0" w:lastRowLastColumn="0"/>
          <w:trHeight w:val="300"/>
        </w:trPr>
        <w:tc>
          <w:tcPr>
            <w:tcW w:w="1735" w:type="dxa"/>
            <w:tcBorders>
              <w:right w:val="single" w:sz="4" w:space="0" w:color="auto"/>
            </w:tcBorders>
            <w:noWrap/>
            <w:hideMark/>
          </w:tcPr>
          <w:p w:rsidR="00F32CF7" w:rsidRPr="00F32CF7" w:rsidRDefault="00F32CF7">
            <w:pPr>
              <w:rPr>
                <w:bCs/>
              </w:rPr>
            </w:pPr>
          </w:p>
        </w:tc>
        <w:tc>
          <w:tcPr>
            <w:tcW w:w="1809" w:type="dxa"/>
            <w:tcBorders>
              <w:left w:val="single" w:sz="4" w:space="0" w:color="auto"/>
            </w:tcBorders>
            <w:noWrap/>
            <w:hideMark/>
          </w:tcPr>
          <w:p w:rsidR="00F32CF7" w:rsidRPr="00F32CF7" w:rsidRDefault="00F32CF7">
            <w:pPr>
              <w:rPr>
                <w:bCs/>
              </w:rPr>
            </w:pPr>
            <w:r w:rsidRPr="00F32CF7">
              <w:rPr>
                <w:bCs/>
              </w:rPr>
              <w:t>Core costs</w:t>
            </w:r>
          </w:p>
        </w:tc>
        <w:tc>
          <w:tcPr>
            <w:tcW w:w="1840" w:type="dxa"/>
            <w:noWrap/>
            <w:hideMark/>
          </w:tcPr>
          <w:p w:rsidR="00F32CF7" w:rsidRPr="00F32CF7" w:rsidRDefault="00F32CF7">
            <w:pPr>
              <w:rPr>
                <w:bCs/>
              </w:rPr>
            </w:pPr>
            <w:r w:rsidRPr="00F32CF7">
              <w:rPr>
                <w:bCs/>
              </w:rPr>
              <w:t>Programme Costs</w:t>
            </w:r>
          </w:p>
        </w:tc>
        <w:tc>
          <w:tcPr>
            <w:tcW w:w="2020" w:type="dxa"/>
            <w:noWrap/>
            <w:hideMark/>
          </w:tcPr>
          <w:p w:rsidR="00F32CF7" w:rsidRPr="00F32CF7" w:rsidRDefault="00F32CF7">
            <w:pPr>
              <w:rPr>
                <w:bCs/>
              </w:rPr>
            </w:pPr>
            <w:r w:rsidRPr="00F32CF7">
              <w:rPr>
                <w:bCs/>
              </w:rPr>
              <w:t>Total</w:t>
            </w:r>
          </w:p>
        </w:tc>
      </w:tr>
      <w:tr w:rsidR="00F32CF7" w:rsidRPr="00F32CF7" w:rsidTr="00684C19">
        <w:trPr>
          <w:trHeight w:val="300"/>
        </w:trPr>
        <w:tc>
          <w:tcPr>
            <w:tcW w:w="1735" w:type="dxa"/>
            <w:tcBorders>
              <w:right w:val="single" w:sz="4" w:space="0" w:color="auto"/>
            </w:tcBorders>
            <w:noWrap/>
            <w:hideMark/>
          </w:tcPr>
          <w:p w:rsidR="00F32CF7" w:rsidRPr="00F32CF7" w:rsidRDefault="00F32CF7">
            <w:r w:rsidRPr="00F32CF7">
              <w:t>Combined Arts</w:t>
            </w:r>
          </w:p>
        </w:tc>
        <w:tc>
          <w:tcPr>
            <w:tcW w:w="1809" w:type="dxa"/>
            <w:tcBorders>
              <w:left w:val="single" w:sz="4" w:space="0" w:color="auto"/>
            </w:tcBorders>
            <w:noWrap/>
            <w:hideMark/>
          </w:tcPr>
          <w:p w:rsidR="00F32CF7" w:rsidRPr="00F32CF7" w:rsidRDefault="00F32CF7">
            <w:r w:rsidRPr="00F32CF7">
              <w:t>10,041</w:t>
            </w:r>
          </w:p>
        </w:tc>
        <w:tc>
          <w:tcPr>
            <w:tcW w:w="1840" w:type="dxa"/>
            <w:noWrap/>
            <w:hideMark/>
          </w:tcPr>
          <w:p w:rsidR="00F32CF7" w:rsidRPr="00F32CF7" w:rsidRDefault="00F32CF7">
            <w:r w:rsidRPr="00F32CF7">
              <w:t>10,123</w:t>
            </w:r>
          </w:p>
        </w:tc>
        <w:tc>
          <w:tcPr>
            <w:tcW w:w="2020" w:type="dxa"/>
            <w:noWrap/>
            <w:hideMark/>
          </w:tcPr>
          <w:p w:rsidR="00F32CF7" w:rsidRPr="00F32CF7" w:rsidRDefault="00F32CF7">
            <w:r w:rsidRPr="00F32CF7">
              <w:t>20,164</w:t>
            </w:r>
          </w:p>
        </w:tc>
      </w:tr>
      <w:tr w:rsidR="00F32CF7" w:rsidRPr="00F32CF7" w:rsidTr="00684C19">
        <w:trPr>
          <w:trHeight w:val="300"/>
        </w:trPr>
        <w:tc>
          <w:tcPr>
            <w:tcW w:w="1735" w:type="dxa"/>
            <w:tcBorders>
              <w:right w:val="single" w:sz="4" w:space="0" w:color="auto"/>
            </w:tcBorders>
            <w:noWrap/>
            <w:hideMark/>
          </w:tcPr>
          <w:p w:rsidR="00F32CF7" w:rsidRPr="00F32CF7" w:rsidRDefault="00F32CF7">
            <w:r w:rsidRPr="00F32CF7">
              <w:t>Dance</w:t>
            </w:r>
          </w:p>
        </w:tc>
        <w:tc>
          <w:tcPr>
            <w:tcW w:w="1809" w:type="dxa"/>
            <w:tcBorders>
              <w:left w:val="single" w:sz="4" w:space="0" w:color="auto"/>
            </w:tcBorders>
            <w:noWrap/>
            <w:hideMark/>
          </w:tcPr>
          <w:p w:rsidR="00F32CF7" w:rsidRPr="00F32CF7" w:rsidRDefault="00F32CF7">
            <w:r w:rsidRPr="00F32CF7">
              <w:t>290</w:t>
            </w:r>
          </w:p>
        </w:tc>
        <w:tc>
          <w:tcPr>
            <w:tcW w:w="1840" w:type="dxa"/>
            <w:noWrap/>
            <w:hideMark/>
          </w:tcPr>
          <w:p w:rsidR="00F32CF7" w:rsidRPr="00F32CF7" w:rsidRDefault="00F32CF7">
            <w:r w:rsidRPr="00F32CF7">
              <w:t>604</w:t>
            </w:r>
          </w:p>
        </w:tc>
        <w:tc>
          <w:tcPr>
            <w:tcW w:w="2020" w:type="dxa"/>
            <w:noWrap/>
            <w:hideMark/>
          </w:tcPr>
          <w:p w:rsidR="00F32CF7" w:rsidRPr="00F32CF7" w:rsidRDefault="00F32CF7">
            <w:r w:rsidRPr="00F32CF7">
              <w:t>894</w:t>
            </w:r>
          </w:p>
        </w:tc>
      </w:tr>
      <w:tr w:rsidR="00F32CF7" w:rsidRPr="00F32CF7" w:rsidTr="00684C19">
        <w:trPr>
          <w:trHeight w:val="300"/>
        </w:trPr>
        <w:tc>
          <w:tcPr>
            <w:tcW w:w="1735" w:type="dxa"/>
            <w:tcBorders>
              <w:right w:val="single" w:sz="4" w:space="0" w:color="auto"/>
            </w:tcBorders>
            <w:noWrap/>
            <w:hideMark/>
          </w:tcPr>
          <w:p w:rsidR="00F32CF7" w:rsidRPr="00F32CF7" w:rsidRDefault="00F32CF7">
            <w:r w:rsidRPr="00F32CF7">
              <w:t>Drama</w:t>
            </w:r>
          </w:p>
        </w:tc>
        <w:tc>
          <w:tcPr>
            <w:tcW w:w="1809" w:type="dxa"/>
            <w:tcBorders>
              <w:left w:val="single" w:sz="4" w:space="0" w:color="auto"/>
            </w:tcBorders>
            <w:noWrap/>
            <w:hideMark/>
          </w:tcPr>
          <w:p w:rsidR="00F32CF7" w:rsidRPr="00F32CF7" w:rsidRDefault="00F32CF7">
            <w:r w:rsidRPr="00F32CF7">
              <w:t>5,497</w:t>
            </w:r>
          </w:p>
        </w:tc>
        <w:tc>
          <w:tcPr>
            <w:tcW w:w="1840" w:type="dxa"/>
            <w:noWrap/>
            <w:hideMark/>
          </w:tcPr>
          <w:p w:rsidR="00F32CF7" w:rsidRPr="00F32CF7" w:rsidRDefault="00F32CF7">
            <w:r w:rsidRPr="00F32CF7">
              <w:t>9,481</w:t>
            </w:r>
          </w:p>
        </w:tc>
        <w:tc>
          <w:tcPr>
            <w:tcW w:w="2020" w:type="dxa"/>
            <w:noWrap/>
            <w:hideMark/>
          </w:tcPr>
          <w:p w:rsidR="00F32CF7" w:rsidRPr="00F32CF7" w:rsidRDefault="00F32CF7">
            <w:r w:rsidRPr="00F32CF7">
              <w:t>14,979</w:t>
            </w:r>
          </w:p>
        </w:tc>
      </w:tr>
      <w:tr w:rsidR="00F32CF7" w:rsidRPr="00F32CF7" w:rsidTr="00684C19">
        <w:trPr>
          <w:trHeight w:val="300"/>
        </w:trPr>
        <w:tc>
          <w:tcPr>
            <w:tcW w:w="1735" w:type="dxa"/>
            <w:tcBorders>
              <w:right w:val="single" w:sz="4" w:space="0" w:color="auto"/>
            </w:tcBorders>
            <w:noWrap/>
            <w:hideMark/>
          </w:tcPr>
          <w:p w:rsidR="00F32CF7" w:rsidRPr="00F32CF7" w:rsidRDefault="00F32CF7">
            <w:r w:rsidRPr="00F32CF7">
              <w:t>Literature</w:t>
            </w:r>
          </w:p>
        </w:tc>
        <w:tc>
          <w:tcPr>
            <w:tcW w:w="1809" w:type="dxa"/>
            <w:tcBorders>
              <w:left w:val="single" w:sz="4" w:space="0" w:color="auto"/>
            </w:tcBorders>
            <w:noWrap/>
            <w:hideMark/>
          </w:tcPr>
          <w:p w:rsidR="00F32CF7" w:rsidRPr="00F32CF7" w:rsidRDefault="00F32CF7">
            <w:r w:rsidRPr="00F32CF7">
              <w:t>1,448</w:t>
            </w:r>
          </w:p>
        </w:tc>
        <w:tc>
          <w:tcPr>
            <w:tcW w:w="1840" w:type="dxa"/>
            <w:noWrap/>
            <w:hideMark/>
          </w:tcPr>
          <w:p w:rsidR="00F32CF7" w:rsidRPr="00F32CF7" w:rsidRDefault="00F32CF7">
            <w:r w:rsidRPr="00F32CF7">
              <w:t>1,303</w:t>
            </w:r>
          </w:p>
        </w:tc>
        <w:tc>
          <w:tcPr>
            <w:tcW w:w="2020" w:type="dxa"/>
            <w:noWrap/>
            <w:hideMark/>
          </w:tcPr>
          <w:p w:rsidR="00F32CF7" w:rsidRPr="00F32CF7" w:rsidRDefault="00F32CF7">
            <w:r w:rsidRPr="00F32CF7">
              <w:t>2,751</w:t>
            </w:r>
          </w:p>
        </w:tc>
      </w:tr>
      <w:tr w:rsidR="00F32CF7" w:rsidRPr="00F32CF7" w:rsidTr="00684C19">
        <w:trPr>
          <w:trHeight w:val="300"/>
        </w:trPr>
        <w:tc>
          <w:tcPr>
            <w:tcW w:w="1735" w:type="dxa"/>
            <w:tcBorders>
              <w:right w:val="single" w:sz="4" w:space="0" w:color="auto"/>
            </w:tcBorders>
            <w:noWrap/>
            <w:hideMark/>
          </w:tcPr>
          <w:p w:rsidR="00F32CF7" w:rsidRPr="00F32CF7" w:rsidRDefault="00F32CF7">
            <w:r w:rsidRPr="00F32CF7">
              <w:t>Music</w:t>
            </w:r>
          </w:p>
        </w:tc>
        <w:tc>
          <w:tcPr>
            <w:tcW w:w="1809" w:type="dxa"/>
            <w:tcBorders>
              <w:left w:val="single" w:sz="4" w:space="0" w:color="auto"/>
            </w:tcBorders>
            <w:noWrap/>
            <w:hideMark/>
          </w:tcPr>
          <w:p w:rsidR="00F32CF7" w:rsidRPr="00F32CF7" w:rsidRDefault="00F32CF7">
            <w:r w:rsidRPr="00F32CF7">
              <w:t>1,515</w:t>
            </w:r>
          </w:p>
        </w:tc>
        <w:tc>
          <w:tcPr>
            <w:tcW w:w="1840" w:type="dxa"/>
            <w:noWrap/>
            <w:hideMark/>
          </w:tcPr>
          <w:p w:rsidR="00F32CF7" w:rsidRPr="00F32CF7" w:rsidRDefault="00F32CF7">
            <w:r w:rsidRPr="00F32CF7">
              <w:t>3,843</w:t>
            </w:r>
          </w:p>
        </w:tc>
        <w:tc>
          <w:tcPr>
            <w:tcW w:w="2020" w:type="dxa"/>
            <w:noWrap/>
            <w:hideMark/>
          </w:tcPr>
          <w:p w:rsidR="00F32CF7" w:rsidRPr="00F32CF7" w:rsidRDefault="00F32CF7">
            <w:r w:rsidRPr="00F32CF7">
              <w:t>5,358</w:t>
            </w:r>
          </w:p>
        </w:tc>
      </w:tr>
      <w:tr w:rsidR="00F32CF7" w:rsidRPr="00F32CF7" w:rsidTr="00684C19">
        <w:trPr>
          <w:trHeight w:val="300"/>
        </w:trPr>
        <w:tc>
          <w:tcPr>
            <w:tcW w:w="1735" w:type="dxa"/>
            <w:tcBorders>
              <w:right w:val="single" w:sz="4" w:space="0" w:color="auto"/>
            </w:tcBorders>
            <w:noWrap/>
            <w:hideMark/>
          </w:tcPr>
          <w:p w:rsidR="00F32CF7" w:rsidRPr="00F32CF7" w:rsidRDefault="00F32CF7">
            <w:r w:rsidRPr="00F32CF7">
              <w:t>Traditional Arts</w:t>
            </w:r>
          </w:p>
        </w:tc>
        <w:tc>
          <w:tcPr>
            <w:tcW w:w="1809" w:type="dxa"/>
            <w:tcBorders>
              <w:left w:val="single" w:sz="4" w:space="0" w:color="auto"/>
            </w:tcBorders>
            <w:noWrap/>
            <w:hideMark/>
          </w:tcPr>
          <w:p w:rsidR="00F32CF7" w:rsidRPr="00F32CF7" w:rsidRDefault="00F32CF7">
            <w:r w:rsidRPr="00F32CF7">
              <w:t>998</w:t>
            </w:r>
          </w:p>
        </w:tc>
        <w:tc>
          <w:tcPr>
            <w:tcW w:w="1840" w:type="dxa"/>
            <w:noWrap/>
            <w:hideMark/>
          </w:tcPr>
          <w:p w:rsidR="00F32CF7" w:rsidRPr="00F32CF7" w:rsidRDefault="00F32CF7">
            <w:r w:rsidRPr="00F32CF7">
              <w:t>1,472</w:t>
            </w:r>
          </w:p>
        </w:tc>
        <w:tc>
          <w:tcPr>
            <w:tcW w:w="2020" w:type="dxa"/>
            <w:noWrap/>
            <w:hideMark/>
          </w:tcPr>
          <w:p w:rsidR="00F32CF7" w:rsidRPr="00F32CF7" w:rsidRDefault="00F32CF7">
            <w:r w:rsidRPr="00F32CF7">
              <w:t>2,470</w:t>
            </w:r>
          </w:p>
        </w:tc>
      </w:tr>
      <w:tr w:rsidR="00F32CF7" w:rsidRPr="00F32CF7" w:rsidTr="00684C19">
        <w:trPr>
          <w:trHeight w:val="300"/>
        </w:trPr>
        <w:tc>
          <w:tcPr>
            <w:tcW w:w="1735" w:type="dxa"/>
            <w:tcBorders>
              <w:bottom w:val="single" w:sz="4" w:space="0" w:color="auto"/>
              <w:right w:val="single" w:sz="4" w:space="0" w:color="auto"/>
            </w:tcBorders>
            <w:noWrap/>
            <w:hideMark/>
          </w:tcPr>
          <w:p w:rsidR="00F32CF7" w:rsidRPr="00F32CF7" w:rsidRDefault="00F32CF7">
            <w:r w:rsidRPr="00F32CF7">
              <w:t>Visual Arts</w:t>
            </w:r>
          </w:p>
        </w:tc>
        <w:tc>
          <w:tcPr>
            <w:tcW w:w="1809" w:type="dxa"/>
            <w:tcBorders>
              <w:left w:val="single" w:sz="4" w:space="0" w:color="auto"/>
              <w:bottom w:val="single" w:sz="4" w:space="0" w:color="auto"/>
            </w:tcBorders>
            <w:noWrap/>
            <w:hideMark/>
          </w:tcPr>
          <w:p w:rsidR="00F32CF7" w:rsidRPr="00F32CF7" w:rsidRDefault="00F32CF7">
            <w:r w:rsidRPr="00F32CF7">
              <w:t>2,381</w:t>
            </w:r>
          </w:p>
        </w:tc>
        <w:tc>
          <w:tcPr>
            <w:tcW w:w="1840" w:type="dxa"/>
            <w:tcBorders>
              <w:bottom w:val="single" w:sz="4" w:space="0" w:color="auto"/>
            </w:tcBorders>
            <w:noWrap/>
            <w:hideMark/>
          </w:tcPr>
          <w:p w:rsidR="00F32CF7" w:rsidRPr="00F32CF7" w:rsidRDefault="00F32CF7">
            <w:r w:rsidRPr="00F32CF7">
              <w:t>1,047</w:t>
            </w:r>
          </w:p>
        </w:tc>
        <w:tc>
          <w:tcPr>
            <w:tcW w:w="2020" w:type="dxa"/>
            <w:tcBorders>
              <w:bottom w:val="single" w:sz="4" w:space="0" w:color="auto"/>
            </w:tcBorders>
            <w:noWrap/>
            <w:hideMark/>
          </w:tcPr>
          <w:p w:rsidR="00F32CF7" w:rsidRPr="00F32CF7" w:rsidRDefault="00F32CF7">
            <w:r w:rsidRPr="00F32CF7">
              <w:t>3,415</w:t>
            </w:r>
          </w:p>
        </w:tc>
      </w:tr>
      <w:tr w:rsidR="00F32CF7" w:rsidRPr="00F32CF7" w:rsidTr="00684C19">
        <w:trPr>
          <w:trHeight w:val="300"/>
        </w:trPr>
        <w:tc>
          <w:tcPr>
            <w:tcW w:w="1735" w:type="dxa"/>
            <w:tcBorders>
              <w:top w:val="single" w:sz="4" w:space="0" w:color="auto"/>
              <w:bottom w:val="single" w:sz="4" w:space="0" w:color="auto"/>
              <w:right w:val="single" w:sz="4" w:space="0" w:color="auto"/>
            </w:tcBorders>
            <w:noWrap/>
            <w:hideMark/>
          </w:tcPr>
          <w:p w:rsidR="00F32CF7" w:rsidRPr="00F32CF7" w:rsidRDefault="00F32CF7">
            <w:pPr>
              <w:rPr>
                <w:b/>
              </w:rPr>
            </w:pPr>
            <w:r w:rsidRPr="00F32CF7">
              <w:rPr>
                <w:b/>
              </w:rPr>
              <w:t>Total</w:t>
            </w:r>
          </w:p>
        </w:tc>
        <w:tc>
          <w:tcPr>
            <w:tcW w:w="1809" w:type="dxa"/>
            <w:tcBorders>
              <w:top w:val="single" w:sz="4" w:space="0" w:color="auto"/>
              <w:left w:val="single" w:sz="4" w:space="0" w:color="auto"/>
              <w:bottom w:val="single" w:sz="4" w:space="0" w:color="auto"/>
            </w:tcBorders>
            <w:noWrap/>
            <w:hideMark/>
          </w:tcPr>
          <w:p w:rsidR="00F32CF7" w:rsidRPr="00F32CF7" w:rsidRDefault="00F32CF7">
            <w:pPr>
              <w:rPr>
                <w:b/>
              </w:rPr>
            </w:pPr>
            <w:r w:rsidRPr="00F32CF7">
              <w:rPr>
                <w:b/>
              </w:rPr>
              <w:t>22,170</w:t>
            </w:r>
          </w:p>
        </w:tc>
        <w:tc>
          <w:tcPr>
            <w:tcW w:w="1840" w:type="dxa"/>
            <w:tcBorders>
              <w:top w:val="single" w:sz="4" w:space="0" w:color="auto"/>
              <w:bottom w:val="single" w:sz="4" w:space="0" w:color="auto"/>
            </w:tcBorders>
            <w:noWrap/>
            <w:hideMark/>
          </w:tcPr>
          <w:p w:rsidR="00F32CF7" w:rsidRPr="00F32CF7" w:rsidRDefault="00F32CF7">
            <w:pPr>
              <w:rPr>
                <w:b/>
              </w:rPr>
            </w:pPr>
            <w:r w:rsidRPr="00F32CF7">
              <w:rPr>
                <w:b/>
              </w:rPr>
              <w:t>27,873</w:t>
            </w:r>
          </w:p>
        </w:tc>
        <w:tc>
          <w:tcPr>
            <w:tcW w:w="2020" w:type="dxa"/>
            <w:tcBorders>
              <w:top w:val="single" w:sz="4" w:space="0" w:color="auto"/>
              <w:bottom w:val="single" w:sz="4" w:space="0" w:color="auto"/>
            </w:tcBorders>
            <w:noWrap/>
            <w:hideMark/>
          </w:tcPr>
          <w:p w:rsidR="00F32CF7" w:rsidRPr="00F32CF7" w:rsidRDefault="00F32CF7">
            <w:pPr>
              <w:rPr>
                <w:b/>
              </w:rPr>
            </w:pPr>
            <w:r w:rsidRPr="00F32CF7">
              <w:rPr>
                <w:b/>
              </w:rPr>
              <w:t>50,031</w:t>
            </w:r>
          </w:p>
        </w:tc>
      </w:tr>
    </w:tbl>
    <w:p w:rsidR="00D62FCD" w:rsidRDefault="00F32CF7" w:rsidP="00D62FCD">
      <w:r>
        <w:fldChar w:fldCharType="end"/>
      </w:r>
    </w:p>
    <w:p w:rsidR="00CC31FD" w:rsidRDefault="00272DC0" w:rsidP="0085043F">
      <w:r>
        <w:t xml:space="preserve">With the exception of Literature and Visual Arts, Programme expenditure exceeded Core costs.  </w:t>
      </w:r>
      <w:r w:rsidR="00C8292F">
        <w:t>Total programme costs were £27.9m, compared to £22.2m Core costs.</w:t>
      </w:r>
    </w:p>
    <w:p w:rsidR="00C8292F" w:rsidRDefault="00C8292F" w:rsidP="0085043F"/>
    <w:p w:rsidR="002F2A71" w:rsidRDefault="002F2A71">
      <w:pPr>
        <w:spacing w:after="200"/>
        <w:rPr>
          <w:b/>
          <w:bCs/>
          <w:color w:val="000000" w:themeColor="text1"/>
          <w:sz w:val="18"/>
          <w:szCs w:val="18"/>
        </w:rPr>
      </w:pPr>
      <w:r>
        <w:br w:type="page"/>
      </w:r>
    </w:p>
    <w:p w:rsidR="00842848" w:rsidRPr="009A3832" w:rsidRDefault="009A3832" w:rsidP="009A3832">
      <w:pPr>
        <w:pStyle w:val="Caption"/>
        <w:rPr>
          <w:b w:val="0"/>
        </w:rPr>
      </w:pPr>
      <w:bookmarkStart w:id="14" w:name="_Toc402964760"/>
      <w:r>
        <w:lastRenderedPageBreak/>
        <w:t xml:space="preserve">Figure </w:t>
      </w:r>
      <w:r w:rsidR="00D3437B">
        <w:fldChar w:fldCharType="begin"/>
      </w:r>
      <w:r w:rsidR="00D3437B">
        <w:instrText xml:space="preserve"> SEQ Figure \* ARABIC </w:instrText>
      </w:r>
      <w:r w:rsidR="00D3437B">
        <w:fldChar w:fldCharType="separate"/>
      </w:r>
      <w:r w:rsidR="00875985">
        <w:rPr>
          <w:noProof/>
        </w:rPr>
        <w:t>4</w:t>
      </w:r>
      <w:r w:rsidR="00D3437B">
        <w:rPr>
          <w:noProof/>
        </w:rPr>
        <w:fldChar w:fldCharType="end"/>
      </w:r>
      <w:r>
        <w:t xml:space="preserve">: </w:t>
      </w:r>
      <w:r w:rsidR="00C8292F" w:rsidRPr="009A3832">
        <w:rPr>
          <w:b w:val="0"/>
        </w:rPr>
        <w:t>Breakdown of total expenditure by artform, 2013/14 (N=109)</w:t>
      </w:r>
      <w:bookmarkEnd w:id="14"/>
    </w:p>
    <w:p w:rsidR="008131BD" w:rsidRDefault="00C8292F" w:rsidP="0085043F">
      <w:r>
        <w:rPr>
          <w:noProof/>
          <w:lang w:eastAsia="en-GB"/>
        </w:rPr>
        <w:drawing>
          <wp:inline distT="0" distB="0" distL="0" distR="0" wp14:anchorId="743FF00A" wp14:editId="53E89DDA">
            <wp:extent cx="5656580" cy="3408452"/>
            <wp:effectExtent l="0" t="0" r="20320" b="209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5043F" w:rsidRDefault="0085043F" w:rsidP="008131BD">
      <w:pPr>
        <w:jc w:val="center"/>
      </w:pPr>
    </w:p>
    <w:p w:rsidR="00647902" w:rsidRDefault="00647902" w:rsidP="0085043F"/>
    <w:p w:rsidR="006C0E3D" w:rsidRDefault="00D424DE" w:rsidP="0085043F">
      <w:r>
        <w:t>Figure 4</w:t>
      </w:r>
      <w:r w:rsidR="00DC4672">
        <w:t xml:space="preserve"> shows the breakdown of expendit</w:t>
      </w:r>
      <w:r w:rsidR="00647902">
        <w:t xml:space="preserve">ure by artform.  For the whole sector, core costs comprised 44 percent of expenditure with programme costs </w:t>
      </w:r>
      <w:r w:rsidR="006C0E3D">
        <w:t>comprising</w:t>
      </w:r>
      <w:r w:rsidR="00647902">
        <w:t xml:space="preserve"> 56 per</w:t>
      </w:r>
      <w:r w:rsidR="006C0E3D">
        <w:t>cent.  Music and Dance had the largest Programme costs (72 percent and 68 percent respectively).  Visual Arts organisations had the greatest proportion of Core costs (70 percent).</w:t>
      </w:r>
    </w:p>
    <w:p w:rsidR="006C0E3D" w:rsidRDefault="006C0E3D" w:rsidP="0085043F"/>
    <w:p w:rsidR="0085043F" w:rsidRDefault="002B510B" w:rsidP="002B510B">
      <w:pPr>
        <w:pStyle w:val="Heading2"/>
      </w:pPr>
      <w:bookmarkStart w:id="15" w:name="_Toc403986350"/>
      <w:r>
        <w:t>Expenditure changes since 2012/13</w:t>
      </w:r>
      <w:bookmarkEnd w:id="15"/>
    </w:p>
    <w:p w:rsidR="0085043F" w:rsidRDefault="0085043F" w:rsidP="0085043F"/>
    <w:p w:rsidR="00A028C9" w:rsidRPr="00A028C9" w:rsidRDefault="00D424DE" w:rsidP="00A028C9">
      <w:r>
        <w:t>Table 5</w:t>
      </w:r>
      <w:r w:rsidR="00A028C9" w:rsidRPr="00A028C9">
        <w:t xml:space="preserve"> shows the </w:t>
      </w:r>
      <w:r w:rsidR="00A028C9">
        <w:t>percentage change in expenditure</w:t>
      </w:r>
      <w:r w:rsidR="00A028C9" w:rsidRPr="00A028C9">
        <w:t xml:space="preserve"> between 2012/13 and 2013/14.  The comparison is based on a constant sample of 93 organisations</w:t>
      </w:r>
      <w:r w:rsidR="009257DB">
        <w:t>.</w:t>
      </w:r>
    </w:p>
    <w:p w:rsidR="00A028C9" w:rsidRDefault="00A028C9" w:rsidP="0085043F"/>
    <w:p w:rsidR="00A028C9" w:rsidRDefault="009A3832" w:rsidP="009A3832">
      <w:pPr>
        <w:pStyle w:val="Caption"/>
        <w:rPr>
          <w:rFonts w:asciiTheme="minorHAnsi" w:hAnsiTheme="minorHAnsi"/>
        </w:rPr>
      </w:pPr>
      <w:r>
        <w:t xml:space="preserve">Table </w:t>
      </w:r>
      <w:r w:rsidR="00D3437B">
        <w:fldChar w:fldCharType="begin"/>
      </w:r>
      <w:r w:rsidR="00D3437B">
        <w:instrText xml:space="preserve"> SEQ Table \* ARABIC </w:instrText>
      </w:r>
      <w:r w:rsidR="00D3437B">
        <w:fldChar w:fldCharType="separate"/>
      </w:r>
      <w:r w:rsidR="00875985">
        <w:rPr>
          <w:noProof/>
        </w:rPr>
        <w:t>5</w:t>
      </w:r>
      <w:r w:rsidR="00D3437B">
        <w:rPr>
          <w:noProof/>
        </w:rPr>
        <w:fldChar w:fldCharType="end"/>
      </w:r>
      <w:r>
        <w:t xml:space="preserve">: </w:t>
      </w:r>
      <w:r w:rsidR="00A028C9" w:rsidRPr="009A3832">
        <w:rPr>
          <w:b w:val="0"/>
        </w:rPr>
        <w:t>Percentage changes in breakdown of expenditure, 2012, 13 and 2013</w:t>
      </w:r>
      <w:proofErr w:type="gramStart"/>
      <w:r w:rsidR="00A028C9" w:rsidRPr="009A3832">
        <w:rPr>
          <w:b w:val="0"/>
        </w:rPr>
        <w:t>,14</w:t>
      </w:r>
      <w:proofErr w:type="gramEnd"/>
      <w:r w:rsidR="00A028C9" w:rsidRPr="009A3832">
        <w:rPr>
          <w:b w:val="0"/>
        </w:rPr>
        <w:t>. (‘000)</w:t>
      </w:r>
      <w:r w:rsidR="00A028C9">
        <w:fldChar w:fldCharType="begin"/>
      </w:r>
      <w:r w:rsidR="00A028C9">
        <w:instrText xml:space="preserve"> LINK Excel.Sheet.12 "\\\\fs0.acninet.local\\strategic_share\\Policy &amp; Research Team\\Survey Data Sets\\RFO\\RFO 1314\\1314 Finance\\1314 charts.xlsx" "Finance charts!R66C8:R69C11" \a \f 4 \h  \* MERGEFORMAT </w:instrText>
      </w:r>
      <w:r w:rsidR="00A028C9">
        <w:fldChar w:fldCharType="separate"/>
      </w:r>
    </w:p>
    <w:tbl>
      <w:tblPr>
        <w:tblStyle w:val="RFOTableFormat"/>
        <w:tblW w:w="6632" w:type="dxa"/>
        <w:tblInd w:w="108" w:type="dxa"/>
        <w:tblLook w:val="04A0" w:firstRow="1" w:lastRow="0" w:firstColumn="1" w:lastColumn="0" w:noHBand="0" w:noVBand="1"/>
      </w:tblPr>
      <w:tblGrid>
        <w:gridCol w:w="1912"/>
        <w:gridCol w:w="1480"/>
        <w:gridCol w:w="1720"/>
        <w:gridCol w:w="1520"/>
      </w:tblGrid>
      <w:tr w:rsidR="00A028C9" w:rsidRPr="00A028C9" w:rsidTr="007E1772">
        <w:trPr>
          <w:cnfStyle w:val="100000000000" w:firstRow="1" w:lastRow="0" w:firstColumn="0" w:lastColumn="0" w:oddVBand="0" w:evenVBand="0" w:oddHBand="0" w:evenHBand="0" w:firstRowFirstColumn="0" w:firstRowLastColumn="0" w:lastRowFirstColumn="0" w:lastRowLastColumn="0"/>
          <w:trHeight w:val="300"/>
        </w:trPr>
        <w:tc>
          <w:tcPr>
            <w:tcW w:w="1912" w:type="dxa"/>
            <w:tcBorders>
              <w:right w:val="single" w:sz="4" w:space="0" w:color="auto"/>
            </w:tcBorders>
            <w:noWrap/>
            <w:hideMark/>
          </w:tcPr>
          <w:p w:rsidR="00A028C9" w:rsidRPr="00A028C9" w:rsidRDefault="00A028C9" w:rsidP="00A028C9">
            <w:pPr>
              <w:rPr>
                <w:rFonts w:ascii="Calibri" w:eastAsia="Times New Roman" w:hAnsi="Calibri" w:cs="Times New Roman"/>
                <w:color w:val="000000"/>
                <w:lang w:eastAsia="en-GB"/>
              </w:rPr>
            </w:pPr>
          </w:p>
        </w:tc>
        <w:tc>
          <w:tcPr>
            <w:tcW w:w="1480" w:type="dxa"/>
            <w:tcBorders>
              <w:left w:val="single" w:sz="4" w:space="0" w:color="auto"/>
            </w:tcBorders>
            <w:noWrap/>
            <w:hideMark/>
          </w:tcPr>
          <w:p w:rsidR="00A028C9" w:rsidRPr="00A028C9" w:rsidRDefault="00A028C9" w:rsidP="00A028C9">
            <w:pPr>
              <w:rPr>
                <w:rFonts w:ascii="Calibri" w:eastAsia="Times New Roman" w:hAnsi="Calibri" w:cs="Times New Roman"/>
                <w:bCs/>
                <w:color w:val="000000"/>
                <w:lang w:eastAsia="en-GB"/>
              </w:rPr>
            </w:pPr>
            <w:r w:rsidRPr="00A028C9">
              <w:rPr>
                <w:rFonts w:ascii="Calibri" w:eastAsia="Times New Roman" w:hAnsi="Calibri" w:cs="Times New Roman"/>
                <w:bCs/>
                <w:color w:val="000000"/>
                <w:lang w:eastAsia="en-GB"/>
              </w:rPr>
              <w:t>20</w:t>
            </w:r>
            <w:r>
              <w:rPr>
                <w:rFonts w:ascii="Calibri" w:eastAsia="Times New Roman" w:hAnsi="Calibri" w:cs="Times New Roman"/>
                <w:bCs/>
                <w:color w:val="000000"/>
                <w:lang w:eastAsia="en-GB"/>
              </w:rPr>
              <w:t>12/</w:t>
            </w:r>
            <w:r w:rsidRPr="00A028C9">
              <w:rPr>
                <w:rFonts w:ascii="Calibri" w:eastAsia="Times New Roman" w:hAnsi="Calibri" w:cs="Times New Roman"/>
                <w:bCs/>
                <w:color w:val="000000"/>
                <w:lang w:eastAsia="en-GB"/>
              </w:rPr>
              <w:t>13</w:t>
            </w:r>
          </w:p>
        </w:tc>
        <w:tc>
          <w:tcPr>
            <w:tcW w:w="1720" w:type="dxa"/>
            <w:noWrap/>
            <w:hideMark/>
          </w:tcPr>
          <w:p w:rsidR="00A028C9" w:rsidRPr="00A028C9" w:rsidRDefault="00A028C9" w:rsidP="00A028C9">
            <w:pPr>
              <w:rPr>
                <w:rFonts w:ascii="Calibri" w:eastAsia="Times New Roman" w:hAnsi="Calibri" w:cs="Times New Roman"/>
                <w:bCs/>
                <w:color w:val="000000"/>
                <w:lang w:eastAsia="en-GB"/>
              </w:rPr>
            </w:pPr>
            <w:r w:rsidRPr="00A028C9">
              <w:rPr>
                <w:rFonts w:ascii="Calibri" w:eastAsia="Times New Roman" w:hAnsi="Calibri" w:cs="Times New Roman"/>
                <w:bCs/>
                <w:color w:val="000000"/>
                <w:lang w:eastAsia="en-GB"/>
              </w:rPr>
              <w:t>20</w:t>
            </w:r>
            <w:r>
              <w:rPr>
                <w:rFonts w:ascii="Calibri" w:eastAsia="Times New Roman" w:hAnsi="Calibri" w:cs="Times New Roman"/>
                <w:bCs/>
                <w:color w:val="000000"/>
                <w:lang w:eastAsia="en-GB"/>
              </w:rPr>
              <w:t>13/</w:t>
            </w:r>
            <w:r w:rsidRPr="00A028C9">
              <w:rPr>
                <w:rFonts w:ascii="Calibri" w:eastAsia="Times New Roman" w:hAnsi="Calibri" w:cs="Times New Roman"/>
                <w:bCs/>
                <w:color w:val="000000"/>
                <w:lang w:eastAsia="en-GB"/>
              </w:rPr>
              <w:t>14</w:t>
            </w:r>
          </w:p>
        </w:tc>
        <w:tc>
          <w:tcPr>
            <w:tcW w:w="1520" w:type="dxa"/>
            <w:noWrap/>
            <w:hideMark/>
          </w:tcPr>
          <w:p w:rsidR="00A028C9" w:rsidRPr="00A028C9" w:rsidRDefault="00A028C9" w:rsidP="00A028C9">
            <w:pPr>
              <w:rPr>
                <w:rFonts w:ascii="Calibri" w:eastAsia="Times New Roman" w:hAnsi="Calibri" w:cs="Times New Roman"/>
                <w:bCs/>
                <w:color w:val="000000"/>
                <w:lang w:eastAsia="en-GB"/>
              </w:rPr>
            </w:pPr>
            <w:r w:rsidRPr="00A028C9">
              <w:rPr>
                <w:rFonts w:ascii="Calibri" w:eastAsia="Times New Roman" w:hAnsi="Calibri" w:cs="Times New Roman"/>
                <w:bCs/>
                <w:color w:val="000000"/>
                <w:lang w:eastAsia="en-GB"/>
              </w:rPr>
              <w:t>% change</w:t>
            </w:r>
          </w:p>
        </w:tc>
      </w:tr>
      <w:tr w:rsidR="00A028C9" w:rsidRPr="00A028C9" w:rsidTr="007E1772">
        <w:trPr>
          <w:trHeight w:val="300"/>
        </w:trPr>
        <w:tc>
          <w:tcPr>
            <w:tcW w:w="1912" w:type="dxa"/>
            <w:tcBorders>
              <w:right w:val="single" w:sz="4" w:space="0" w:color="auto"/>
            </w:tcBorders>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Core costs</w:t>
            </w:r>
          </w:p>
        </w:tc>
        <w:tc>
          <w:tcPr>
            <w:tcW w:w="1480" w:type="dxa"/>
            <w:tcBorders>
              <w:left w:val="single" w:sz="4" w:space="0" w:color="auto"/>
            </w:tcBorders>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19,245</w:t>
            </w:r>
          </w:p>
        </w:tc>
        <w:tc>
          <w:tcPr>
            <w:tcW w:w="1720" w:type="dxa"/>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20,159</w:t>
            </w:r>
          </w:p>
        </w:tc>
        <w:tc>
          <w:tcPr>
            <w:tcW w:w="1520" w:type="dxa"/>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5</w:t>
            </w:r>
          </w:p>
        </w:tc>
      </w:tr>
      <w:tr w:rsidR="00A028C9" w:rsidRPr="00A028C9" w:rsidTr="007E1772">
        <w:trPr>
          <w:trHeight w:val="300"/>
        </w:trPr>
        <w:tc>
          <w:tcPr>
            <w:tcW w:w="1912" w:type="dxa"/>
            <w:tcBorders>
              <w:bottom w:val="single" w:sz="4" w:space="0" w:color="auto"/>
              <w:right w:val="single" w:sz="4" w:space="0" w:color="auto"/>
            </w:tcBorders>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Programme costs</w:t>
            </w:r>
          </w:p>
        </w:tc>
        <w:tc>
          <w:tcPr>
            <w:tcW w:w="1480" w:type="dxa"/>
            <w:tcBorders>
              <w:left w:val="single" w:sz="4" w:space="0" w:color="auto"/>
              <w:bottom w:val="single" w:sz="4" w:space="0" w:color="auto"/>
            </w:tcBorders>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23,441</w:t>
            </w:r>
          </w:p>
        </w:tc>
        <w:tc>
          <w:tcPr>
            <w:tcW w:w="1720" w:type="dxa"/>
            <w:tcBorders>
              <w:bottom w:val="single" w:sz="4" w:space="0" w:color="auto"/>
            </w:tcBorders>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25,274</w:t>
            </w:r>
          </w:p>
        </w:tc>
        <w:tc>
          <w:tcPr>
            <w:tcW w:w="1520" w:type="dxa"/>
            <w:tcBorders>
              <w:bottom w:val="single" w:sz="4" w:space="0" w:color="auto"/>
            </w:tcBorders>
            <w:noWrap/>
            <w:hideMark/>
          </w:tcPr>
          <w:p w:rsidR="00A028C9" w:rsidRPr="00A028C9" w:rsidRDefault="00A028C9" w:rsidP="00A028C9">
            <w:pPr>
              <w:rPr>
                <w:rFonts w:ascii="Calibri" w:eastAsia="Times New Roman" w:hAnsi="Calibri" w:cs="Times New Roman"/>
                <w:color w:val="000000"/>
                <w:lang w:eastAsia="en-GB"/>
              </w:rPr>
            </w:pPr>
            <w:r w:rsidRPr="00A028C9">
              <w:rPr>
                <w:rFonts w:ascii="Calibri" w:eastAsia="Times New Roman" w:hAnsi="Calibri" w:cs="Times New Roman"/>
                <w:color w:val="000000"/>
                <w:lang w:eastAsia="en-GB"/>
              </w:rPr>
              <w:t>8</w:t>
            </w:r>
          </w:p>
        </w:tc>
      </w:tr>
      <w:tr w:rsidR="00A028C9" w:rsidRPr="00A028C9" w:rsidTr="007E1772">
        <w:trPr>
          <w:trHeight w:val="300"/>
        </w:trPr>
        <w:tc>
          <w:tcPr>
            <w:tcW w:w="1912" w:type="dxa"/>
            <w:tcBorders>
              <w:top w:val="single" w:sz="4" w:space="0" w:color="auto"/>
              <w:bottom w:val="single" w:sz="4" w:space="0" w:color="auto"/>
              <w:right w:val="single" w:sz="4" w:space="0" w:color="auto"/>
            </w:tcBorders>
            <w:noWrap/>
            <w:hideMark/>
          </w:tcPr>
          <w:p w:rsidR="00A028C9" w:rsidRPr="00A028C9" w:rsidRDefault="00A028C9" w:rsidP="00A028C9">
            <w:pPr>
              <w:rPr>
                <w:rFonts w:ascii="Calibri" w:eastAsia="Times New Roman" w:hAnsi="Calibri" w:cs="Times New Roman"/>
                <w:b/>
                <w:color w:val="000000"/>
                <w:lang w:eastAsia="en-GB"/>
              </w:rPr>
            </w:pPr>
            <w:r w:rsidRPr="00A028C9">
              <w:rPr>
                <w:rFonts w:ascii="Calibri" w:eastAsia="Times New Roman" w:hAnsi="Calibri" w:cs="Times New Roman"/>
                <w:b/>
                <w:color w:val="000000"/>
                <w:lang w:eastAsia="en-GB"/>
              </w:rPr>
              <w:t>Overall</w:t>
            </w:r>
          </w:p>
        </w:tc>
        <w:tc>
          <w:tcPr>
            <w:tcW w:w="1480" w:type="dxa"/>
            <w:tcBorders>
              <w:top w:val="single" w:sz="4" w:space="0" w:color="auto"/>
              <w:left w:val="single" w:sz="4" w:space="0" w:color="auto"/>
              <w:bottom w:val="single" w:sz="4" w:space="0" w:color="auto"/>
            </w:tcBorders>
            <w:noWrap/>
            <w:hideMark/>
          </w:tcPr>
          <w:p w:rsidR="00A028C9" w:rsidRPr="00A028C9" w:rsidRDefault="00A028C9" w:rsidP="00A028C9">
            <w:pPr>
              <w:rPr>
                <w:rFonts w:ascii="Calibri" w:eastAsia="Times New Roman" w:hAnsi="Calibri" w:cs="Times New Roman"/>
                <w:b/>
                <w:color w:val="000000"/>
                <w:lang w:eastAsia="en-GB"/>
              </w:rPr>
            </w:pPr>
            <w:r w:rsidRPr="00A028C9">
              <w:rPr>
                <w:rFonts w:ascii="Calibri" w:eastAsia="Times New Roman" w:hAnsi="Calibri" w:cs="Times New Roman"/>
                <w:b/>
                <w:color w:val="000000"/>
                <w:lang w:eastAsia="en-GB"/>
              </w:rPr>
              <w:t>42,686</w:t>
            </w:r>
          </w:p>
        </w:tc>
        <w:tc>
          <w:tcPr>
            <w:tcW w:w="1720" w:type="dxa"/>
            <w:tcBorders>
              <w:top w:val="single" w:sz="4" w:space="0" w:color="auto"/>
              <w:bottom w:val="single" w:sz="4" w:space="0" w:color="auto"/>
            </w:tcBorders>
            <w:noWrap/>
            <w:hideMark/>
          </w:tcPr>
          <w:p w:rsidR="00A028C9" w:rsidRPr="00A028C9" w:rsidRDefault="00A028C9" w:rsidP="00A028C9">
            <w:pPr>
              <w:rPr>
                <w:rFonts w:ascii="Calibri" w:eastAsia="Times New Roman" w:hAnsi="Calibri" w:cs="Times New Roman"/>
                <w:b/>
                <w:color w:val="000000"/>
                <w:lang w:eastAsia="en-GB"/>
              </w:rPr>
            </w:pPr>
            <w:r w:rsidRPr="00A028C9">
              <w:rPr>
                <w:rFonts w:ascii="Calibri" w:eastAsia="Times New Roman" w:hAnsi="Calibri" w:cs="Times New Roman"/>
                <w:b/>
                <w:color w:val="000000"/>
                <w:lang w:eastAsia="en-GB"/>
              </w:rPr>
              <w:t>45,433</w:t>
            </w:r>
          </w:p>
        </w:tc>
        <w:tc>
          <w:tcPr>
            <w:tcW w:w="1520" w:type="dxa"/>
            <w:tcBorders>
              <w:top w:val="single" w:sz="4" w:space="0" w:color="auto"/>
              <w:bottom w:val="single" w:sz="4" w:space="0" w:color="auto"/>
            </w:tcBorders>
            <w:noWrap/>
            <w:hideMark/>
          </w:tcPr>
          <w:p w:rsidR="00A028C9" w:rsidRPr="00A028C9" w:rsidRDefault="00A028C9" w:rsidP="00A028C9">
            <w:pPr>
              <w:rPr>
                <w:rFonts w:ascii="Calibri" w:eastAsia="Times New Roman" w:hAnsi="Calibri" w:cs="Times New Roman"/>
                <w:b/>
                <w:color w:val="000000"/>
                <w:lang w:eastAsia="en-GB"/>
              </w:rPr>
            </w:pPr>
            <w:r w:rsidRPr="00A028C9">
              <w:rPr>
                <w:rFonts w:ascii="Calibri" w:eastAsia="Times New Roman" w:hAnsi="Calibri" w:cs="Times New Roman"/>
                <w:b/>
                <w:color w:val="000000"/>
                <w:lang w:eastAsia="en-GB"/>
              </w:rPr>
              <w:t>6</w:t>
            </w:r>
          </w:p>
        </w:tc>
      </w:tr>
    </w:tbl>
    <w:p w:rsidR="0085043F" w:rsidRDefault="00A028C9" w:rsidP="0085043F">
      <w:r>
        <w:fldChar w:fldCharType="end"/>
      </w:r>
    </w:p>
    <w:p w:rsidR="00A028C9" w:rsidRPr="00A028C9" w:rsidRDefault="00A028C9" w:rsidP="00A028C9">
      <w:r>
        <w:t xml:space="preserve">Total expenditure </w:t>
      </w:r>
      <w:r w:rsidRPr="00A028C9">
        <w:t>increased</w:t>
      </w:r>
      <w:r>
        <w:t xml:space="preserve"> by 6</w:t>
      </w:r>
      <w:r w:rsidRPr="00A028C9">
        <w:t xml:space="preserve"> percent between 2012/13 and 2013/14</w:t>
      </w:r>
      <w:r>
        <w:t xml:space="preserve">.  </w:t>
      </w:r>
      <w:proofErr w:type="gramStart"/>
      <w:r>
        <w:t>Core costs increased by 5 percent (£914k), with programme costs increasing by 8 percent (£1.8m).</w:t>
      </w:r>
      <w:proofErr w:type="gramEnd"/>
    </w:p>
    <w:p w:rsidR="0085043F" w:rsidRDefault="0085043F" w:rsidP="0085043F"/>
    <w:p w:rsidR="000D61DA" w:rsidRDefault="000D61DA" w:rsidP="006F16AA"/>
    <w:p w:rsidR="000D61DA" w:rsidRDefault="000D61DA" w:rsidP="006F16AA"/>
    <w:p w:rsidR="000D61DA" w:rsidRDefault="000D61DA" w:rsidP="006F16AA"/>
    <w:p w:rsidR="000D61DA" w:rsidRDefault="000D61DA" w:rsidP="006F16AA"/>
    <w:p w:rsidR="002B510B" w:rsidRPr="002B510B" w:rsidRDefault="002B510B" w:rsidP="002B510B">
      <w:pPr>
        <w:keepNext/>
        <w:keepLines/>
        <w:numPr>
          <w:ilvl w:val="0"/>
          <w:numId w:val="4"/>
        </w:numPr>
        <w:spacing w:after="120"/>
        <w:ind w:left="426" w:hanging="426"/>
        <w:outlineLvl w:val="0"/>
        <w:rPr>
          <w:rFonts w:eastAsia="Times New Roman" w:cs="Times New Roman"/>
          <w:b/>
          <w:bCs/>
          <w:color w:val="000000" w:themeColor="text1"/>
          <w:sz w:val="28"/>
          <w:szCs w:val="28"/>
        </w:rPr>
      </w:pPr>
      <w:bookmarkStart w:id="16" w:name="_Toc403986351"/>
      <w:r w:rsidRPr="002B510B">
        <w:rPr>
          <w:rFonts w:eastAsia="Times New Roman" w:cs="Times New Roman"/>
          <w:b/>
          <w:bCs/>
          <w:color w:val="000000" w:themeColor="text1"/>
          <w:sz w:val="28"/>
          <w:szCs w:val="28"/>
        </w:rPr>
        <w:lastRenderedPageBreak/>
        <w:t>Arts Activities</w:t>
      </w:r>
      <w:bookmarkEnd w:id="16"/>
    </w:p>
    <w:p w:rsidR="00E1076C" w:rsidRDefault="002B510B" w:rsidP="002B510B">
      <w:pPr>
        <w:rPr>
          <w:rFonts w:eastAsia="Calibri" w:cs="Arial"/>
        </w:rPr>
      </w:pPr>
      <w:r w:rsidRPr="002B510B">
        <w:rPr>
          <w:rFonts w:eastAsia="Calibri" w:cs="Arial"/>
        </w:rPr>
        <w:t>This section presents data o</w:t>
      </w:r>
      <w:r w:rsidR="00CF1691">
        <w:rPr>
          <w:rFonts w:eastAsia="Calibri" w:cs="Arial"/>
        </w:rPr>
        <w:t xml:space="preserve">n activities delivered by the </w:t>
      </w:r>
      <w:r>
        <w:rPr>
          <w:rFonts w:eastAsia="Calibri" w:cs="Arial"/>
        </w:rPr>
        <w:t>109</w:t>
      </w:r>
      <w:r w:rsidRPr="002B510B">
        <w:rPr>
          <w:rFonts w:eastAsia="Calibri" w:cs="Arial"/>
        </w:rPr>
        <w:t xml:space="preserve"> regularly </w:t>
      </w:r>
      <w:r>
        <w:rPr>
          <w:rFonts w:eastAsia="Calibri" w:cs="Arial"/>
        </w:rPr>
        <w:t>funded organisations during 2013/14</w:t>
      </w:r>
      <w:r w:rsidR="00E1076C">
        <w:rPr>
          <w:rFonts w:eastAsia="Calibri" w:cs="Arial"/>
        </w:rPr>
        <w:t>.</w:t>
      </w:r>
      <w:r w:rsidR="00CF1691">
        <w:rPr>
          <w:rFonts w:eastAsia="Calibri" w:cs="Arial"/>
        </w:rPr>
        <w:t xml:space="preserve">  </w:t>
      </w:r>
      <w:r w:rsidR="00AC6B0E">
        <w:rPr>
          <w:rFonts w:eastAsia="Calibri" w:cs="Arial"/>
        </w:rPr>
        <w:t>For activities that present or engage individuals directly through artistic activity, the number of activities and audiences are broken down by artform classifications.</w:t>
      </w:r>
    </w:p>
    <w:p w:rsidR="009A3832" w:rsidRDefault="009A3832" w:rsidP="002B510B">
      <w:pPr>
        <w:rPr>
          <w:rFonts w:eastAsia="Calibri" w:cs="Arial"/>
        </w:rPr>
      </w:pPr>
    </w:p>
    <w:p w:rsidR="00AC6B0E" w:rsidRDefault="00AC6B0E" w:rsidP="00AC6B0E">
      <w:pPr>
        <w:pStyle w:val="Heading2"/>
        <w:rPr>
          <w:rFonts w:eastAsia="Calibri"/>
        </w:rPr>
      </w:pPr>
      <w:bookmarkStart w:id="17" w:name="_Toc403986352"/>
      <w:r>
        <w:rPr>
          <w:rFonts w:eastAsia="Calibri"/>
        </w:rPr>
        <w:t>Headline results: total arts activities</w:t>
      </w:r>
      <w:bookmarkEnd w:id="17"/>
    </w:p>
    <w:p w:rsidR="00CF1691" w:rsidRDefault="00AC6B0E" w:rsidP="002B510B">
      <w:pPr>
        <w:rPr>
          <w:rFonts w:eastAsia="Calibri" w:cs="Arial"/>
        </w:rPr>
      </w:pPr>
      <w:r>
        <w:rPr>
          <w:rFonts w:eastAsia="Calibri" w:cs="Arial"/>
        </w:rPr>
        <w:t>Regularly fun</w:t>
      </w:r>
      <w:r w:rsidR="0007310E">
        <w:rPr>
          <w:rFonts w:eastAsia="Calibri" w:cs="Arial"/>
        </w:rPr>
        <w:t>ded organisations in 2013/14</w:t>
      </w:r>
      <w:r>
        <w:rPr>
          <w:rFonts w:eastAsia="Calibri" w:cs="Arial"/>
        </w:rPr>
        <w:t xml:space="preserve"> delivered 29,305 performances, exhibitions and participation based events.  This can be broken down into:</w:t>
      </w:r>
    </w:p>
    <w:p w:rsidR="00AC6B0E" w:rsidRDefault="00AC6B0E" w:rsidP="002B510B">
      <w:pPr>
        <w:rPr>
          <w:rFonts w:eastAsia="Calibri" w:cs="Arial"/>
        </w:rPr>
      </w:pPr>
    </w:p>
    <w:p w:rsidR="00AC6B0E" w:rsidRDefault="00AC6B0E" w:rsidP="00AC6B0E">
      <w:pPr>
        <w:pStyle w:val="ListParagraph"/>
        <w:numPr>
          <w:ilvl w:val="0"/>
          <w:numId w:val="24"/>
        </w:numPr>
        <w:rPr>
          <w:rFonts w:eastAsia="Calibri" w:cs="Arial"/>
        </w:rPr>
      </w:pPr>
      <w:r>
        <w:rPr>
          <w:rFonts w:eastAsia="Calibri" w:cs="Arial"/>
        </w:rPr>
        <w:t>4,693 participation based events;</w:t>
      </w:r>
    </w:p>
    <w:p w:rsidR="00AC6B0E" w:rsidRDefault="00AC6B0E" w:rsidP="00AC6B0E">
      <w:pPr>
        <w:pStyle w:val="ListParagraph"/>
        <w:numPr>
          <w:ilvl w:val="0"/>
          <w:numId w:val="24"/>
        </w:numPr>
        <w:rPr>
          <w:rFonts w:eastAsia="Calibri" w:cs="Arial"/>
        </w:rPr>
      </w:pPr>
      <w:r>
        <w:rPr>
          <w:rFonts w:eastAsia="Calibri" w:cs="Arial"/>
        </w:rPr>
        <w:t>24,171 performances</w:t>
      </w:r>
      <w:r w:rsidR="00626118">
        <w:rPr>
          <w:rFonts w:eastAsia="Calibri" w:cs="Arial"/>
        </w:rPr>
        <w:t xml:space="preserve"> (3,863 productions)</w:t>
      </w:r>
      <w:r>
        <w:rPr>
          <w:rFonts w:eastAsia="Calibri" w:cs="Arial"/>
        </w:rPr>
        <w:t>; and</w:t>
      </w:r>
    </w:p>
    <w:p w:rsidR="00AC6B0E" w:rsidRDefault="00AC6B0E" w:rsidP="00AC6B0E">
      <w:pPr>
        <w:pStyle w:val="ListParagraph"/>
        <w:numPr>
          <w:ilvl w:val="0"/>
          <w:numId w:val="24"/>
        </w:numPr>
        <w:rPr>
          <w:rFonts w:eastAsia="Calibri" w:cs="Arial"/>
        </w:rPr>
      </w:pPr>
      <w:r>
        <w:rPr>
          <w:rFonts w:eastAsia="Calibri" w:cs="Arial"/>
        </w:rPr>
        <w:t xml:space="preserve">445 exhibitions </w:t>
      </w:r>
    </w:p>
    <w:p w:rsidR="00AC6B0E" w:rsidRDefault="00AC6B0E" w:rsidP="002B510B">
      <w:pPr>
        <w:rPr>
          <w:rFonts w:eastAsia="Calibri" w:cs="Arial"/>
        </w:rPr>
      </w:pPr>
    </w:p>
    <w:p w:rsidR="00B46629" w:rsidRDefault="00E1076C" w:rsidP="00E1076C">
      <w:pPr>
        <w:pStyle w:val="Heading2"/>
      </w:pPr>
      <w:bookmarkStart w:id="18" w:name="_Toc403986353"/>
      <w:r>
        <w:t>Groups Targeted</w:t>
      </w:r>
      <w:bookmarkEnd w:id="18"/>
    </w:p>
    <w:p w:rsidR="00E1076C" w:rsidRDefault="00E1076C" w:rsidP="00E1076C"/>
    <w:p w:rsidR="006D09D2" w:rsidRPr="006D09D2" w:rsidRDefault="006D09D2" w:rsidP="006D09D2">
      <w:pPr>
        <w:rPr>
          <w:rFonts w:eastAsia="Calibri" w:cs="Times New Roman"/>
        </w:rPr>
      </w:pPr>
      <w:r w:rsidRPr="006D09D2">
        <w:rPr>
          <w:rFonts w:eastAsia="Calibri" w:cs="Times New Roman"/>
        </w:rPr>
        <w:t>The Arts Council monitors the extent to which funded organisations target groups within society.  This includes socially or economically marginalised</w:t>
      </w:r>
      <w:r>
        <w:rPr>
          <w:rFonts w:eastAsia="Calibri" w:cs="Times New Roman"/>
        </w:rPr>
        <w:t xml:space="preserve"> groups</w:t>
      </w:r>
      <w:r w:rsidRPr="006D09D2">
        <w:rPr>
          <w:rFonts w:eastAsia="Calibri" w:cs="Times New Roman"/>
        </w:rPr>
        <w:t xml:space="preserve">, older people and those living in rural areas.  </w:t>
      </w:r>
    </w:p>
    <w:p w:rsidR="006D09D2" w:rsidRPr="006D09D2" w:rsidRDefault="006D09D2" w:rsidP="006D09D2">
      <w:pPr>
        <w:rPr>
          <w:rFonts w:eastAsia="Calibri" w:cs="Times New Roman"/>
        </w:rPr>
      </w:pPr>
    </w:p>
    <w:p w:rsidR="006D09D2" w:rsidRPr="006D09D2" w:rsidRDefault="006D09D2" w:rsidP="006D09D2">
      <w:pPr>
        <w:rPr>
          <w:rFonts w:eastAsia="Calibri" w:cs="Times New Roman"/>
        </w:rPr>
      </w:pPr>
      <w:r w:rsidRPr="006D09D2">
        <w:rPr>
          <w:rFonts w:eastAsia="Calibri" w:cs="Times New Roman"/>
        </w:rPr>
        <w:t>Within this context, targeting can take the form of a number of actions including publicity, inducements (such as discounted ticket prices) or outreach work delivered within a specific geographical location.  Often this work is delivered in collaboration with local co</w:t>
      </w:r>
      <w:r>
        <w:rPr>
          <w:rFonts w:eastAsia="Calibri" w:cs="Times New Roman"/>
        </w:rPr>
        <w:t>mmunity and voluntary groups which</w:t>
      </w:r>
      <w:r w:rsidRPr="006D09D2">
        <w:rPr>
          <w:rFonts w:eastAsia="Calibri" w:cs="Times New Roman"/>
        </w:rPr>
        <w:t xml:space="preserve"> provide area based knowledge and insight, adding value to the activity delivered by arts organisations. </w:t>
      </w:r>
    </w:p>
    <w:p w:rsidR="00DE157B" w:rsidRDefault="00DE157B" w:rsidP="00E1076C"/>
    <w:p w:rsidR="00DE157B" w:rsidRPr="009A3832" w:rsidRDefault="009A3832" w:rsidP="009A3832">
      <w:pPr>
        <w:pStyle w:val="Caption"/>
        <w:rPr>
          <w:b w:val="0"/>
        </w:rPr>
      </w:pPr>
      <w:bookmarkStart w:id="19" w:name="_Toc402964761"/>
      <w:r>
        <w:t xml:space="preserve">Figure </w:t>
      </w:r>
      <w:r w:rsidR="00D3437B">
        <w:fldChar w:fldCharType="begin"/>
      </w:r>
      <w:r w:rsidR="00D3437B">
        <w:instrText xml:space="preserve"> SEQ Figure \* ARABIC </w:instrText>
      </w:r>
      <w:r w:rsidR="00D3437B">
        <w:fldChar w:fldCharType="separate"/>
      </w:r>
      <w:r w:rsidR="00875985">
        <w:rPr>
          <w:noProof/>
        </w:rPr>
        <w:t>5</w:t>
      </w:r>
      <w:r w:rsidR="00D3437B">
        <w:rPr>
          <w:noProof/>
        </w:rPr>
        <w:fldChar w:fldCharType="end"/>
      </w:r>
      <w:r>
        <w:t xml:space="preserve">: </w:t>
      </w:r>
      <w:r w:rsidR="00DE157B" w:rsidRPr="009A3832">
        <w:rPr>
          <w:b w:val="0"/>
        </w:rPr>
        <w:t>Breakdown of activity targeted at groups, 2013/14 (N=</w:t>
      </w:r>
      <w:r w:rsidR="00AF26E3" w:rsidRPr="009A3832">
        <w:rPr>
          <w:b w:val="0"/>
        </w:rPr>
        <w:t>7,815</w:t>
      </w:r>
      <w:r w:rsidR="00DE157B" w:rsidRPr="009A3832">
        <w:rPr>
          <w:b w:val="0"/>
        </w:rPr>
        <w:t>)</w:t>
      </w:r>
      <w:bookmarkEnd w:id="19"/>
    </w:p>
    <w:p w:rsidR="00AF26E3" w:rsidRDefault="00AF26E3" w:rsidP="00E1076C">
      <w:r>
        <w:rPr>
          <w:noProof/>
          <w:lang w:eastAsia="en-GB"/>
        </w:rPr>
        <w:drawing>
          <wp:inline distT="0" distB="0" distL="0" distR="0" wp14:anchorId="1DFC9588" wp14:editId="7E013401">
            <wp:extent cx="5495925" cy="2552700"/>
            <wp:effectExtent l="0" t="0" r="9525"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26E3" w:rsidRDefault="00AF26E3" w:rsidP="00E1076C"/>
    <w:p w:rsidR="00F02469" w:rsidRDefault="00D424DE" w:rsidP="00E1076C">
      <w:r>
        <w:t>Figure 5</w:t>
      </w:r>
      <w:r w:rsidR="00863C38">
        <w:t xml:space="preserve"> shows the proportion of activity targeted at recognised groups for all activity types.  Excluding ‘no targeting’, Children</w:t>
      </w:r>
      <w:r w:rsidR="008D5D99">
        <w:t xml:space="preserve"> or young people were targeted</w:t>
      </w:r>
      <w:r w:rsidR="00F02469">
        <w:t xml:space="preserve"> most frequently by funded organisations.  Forty</w:t>
      </w:r>
      <w:r w:rsidR="008D5D99">
        <w:t xml:space="preserve"> </w:t>
      </w:r>
      <w:r w:rsidR="005B0A08">
        <w:t xml:space="preserve">percent of activity </w:t>
      </w:r>
      <w:r w:rsidR="00F02469">
        <w:t xml:space="preserve">was aimed at this group, reflecting the strategic priority </w:t>
      </w:r>
      <w:r w:rsidR="00863C38">
        <w:t xml:space="preserve">placed on </w:t>
      </w:r>
      <w:r w:rsidR="00F02469">
        <w:t xml:space="preserve">engaging </w:t>
      </w:r>
      <w:r w:rsidR="00863C38">
        <w:t>this cohort</w:t>
      </w:r>
      <w:r w:rsidR="00F02469">
        <w:t xml:space="preserve"> in the arts.  A significant proportion of activity was </w:t>
      </w:r>
      <w:r w:rsidR="00F02469">
        <w:lastRenderedPageBreak/>
        <w:t>also targeted at socially or economically deprived groups (</w:t>
      </w:r>
      <w:r w:rsidR="00863C38">
        <w:t>22 percent), disabled people (17 percent) and older people (16 percent</w:t>
      </w:r>
      <w:r w:rsidR="00F02469">
        <w:t>).</w:t>
      </w:r>
    </w:p>
    <w:p w:rsidR="00F02469" w:rsidRDefault="00F02469" w:rsidP="00E1076C"/>
    <w:p w:rsidR="00AC3BEF" w:rsidRDefault="00AC3BEF" w:rsidP="00AC3BEF">
      <w:pPr>
        <w:rPr>
          <w:rFonts w:eastAsia="Calibri" w:cs="Arial"/>
        </w:rPr>
      </w:pPr>
      <w:r>
        <w:rPr>
          <w:rFonts w:eastAsia="Calibri" w:cs="Arial"/>
        </w:rPr>
        <w:t>These findings do not</w:t>
      </w:r>
      <w:r w:rsidRPr="00AC3BEF">
        <w:rPr>
          <w:rFonts w:eastAsia="Calibri" w:cs="Arial"/>
        </w:rPr>
        <w:t xml:space="preserve"> demonstrate </w:t>
      </w:r>
      <w:r>
        <w:rPr>
          <w:rFonts w:eastAsia="Calibri" w:cs="Arial"/>
        </w:rPr>
        <w:t>success</w:t>
      </w:r>
      <w:r w:rsidRPr="00AC3BEF">
        <w:rPr>
          <w:rFonts w:eastAsia="Calibri" w:cs="Arial"/>
        </w:rPr>
        <w:t xml:space="preserve"> </w:t>
      </w:r>
      <w:r>
        <w:rPr>
          <w:rFonts w:eastAsia="Calibri" w:cs="Arial"/>
        </w:rPr>
        <w:t xml:space="preserve">in reaching the specific group </w:t>
      </w:r>
      <w:r w:rsidR="00F63EEC">
        <w:rPr>
          <w:rFonts w:eastAsia="Calibri" w:cs="Arial"/>
        </w:rPr>
        <w:t>(</w:t>
      </w:r>
      <w:r w:rsidRPr="00AC3BEF">
        <w:rPr>
          <w:rFonts w:eastAsia="Calibri" w:cs="Arial"/>
        </w:rPr>
        <w:t>a judgement more relevant to</w:t>
      </w:r>
      <w:r>
        <w:rPr>
          <w:rFonts w:eastAsia="Calibri" w:cs="Arial"/>
        </w:rPr>
        <w:t xml:space="preserve"> post-project evaluation phase).  It is useful to note</w:t>
      </w:r>
      <w:r w:rsidRPr="00AC3BEF">
        <w:rPr>
          <w:rFonts w:eastAsia="Calibri" w:cs="Arial"/>
        </w:rPr>
        <w:t xml:space="preserve"> the group, or number of groups, the activity was intended to reach, as this has important implications for the form the activity takes, the methods used to support access and the marketing methods employed.  </w:t>
      </w:r>
    </w:p>
    <w:p w:rsidR="00863C38" w:rsidRDefault="00863C38" w:rsidP="00AC3BEF">
      <w:pPr>
        <w:rPr>
          <w:rFonts w:eastAsia="Calibri" w:cs="Arial"/>
        </w:rPr>
      </w:pPr>
    </w:p>
    <w:p w:rsidR="008D5D99" w:rsidRDefault="00D424DE" w:rsidP="00E1076C">
      <w:pPr>
        <w:rPr>
          <w:rFonts w:eastAsia="Calibri" w:cs="Arial"/>
        </w:rPr>
      </w:pPr>
      <w:r>
        <w:rPr>
          <w:rFonts w:eastAsia="Calibri" w:cs="Arial"/>
        </w:rPr>
        <w:t>Figure 6</w:t>
      </w:r>
      <w:r w:rsidR="00863C38">
        <w:rPr>
          <w:rFonts w:eastAsia="Calibri" w:cs="Arial"/>
        </w:rPr>
        <w:t xml:space="preserve"> shows the proportion of activity targeted at groups by activity type.  As a proportion of overall activity, the majority of both performance and exhibition </w:t>
      </w:r>
      <w:r w:rsidR="00297A30">
        <w:rPr>
          <w:rFonts w:eastAsia="Calibri" w:cs="Arial"/>
        </w:rPr>
        <w:t xml:space="preserve">activity was not targeted at any specific group (57 percent and 54 percent respectively).  In comparison, 75 percent of participation based activity was targeted at one or more of the eight designated groups, reflecting </w:t>
      </w:r>
      <w:r w:rsidR="005E2B32">
        <w:rPr>
          <w:rFonts w:eastAsia="Calibri" w:cs="Arial"/>
        </w:rPr>
        <w:t>a greater tendency for participation based mediums</w:t>
      </w:r>
      <w:r w:rsidR="00297A30">
        <w:rPr>
          <w:rFonts w:eastAsia="Calibri" w:cs="Arial"/>
        </w:rPr>
        <w:t xml:space="preserve"> to be used within community contexts to address </w:t>
      </w:r>
      <w:r w:rsidR="005E2B32">
        <w:rPr>
          <w:rFonts w:eastAsia="Calibri" w:cs="Arial"/>
        </w:rPr>
        <w:t>issue base</w:t>
      </w:r>
      <w:r w:rsidR="00F63EEC">
        <w:rPr>
          <w:rFonts w:eastAsia="Calibri" w:cs="Arial"/>
        </w:rPr>
        <w:t>d</w:t>
      </w:r>
      <w:r w:rsidR="005E2B32">
        <w:rPr>
          <w:rFonts w:eastAsia="Calibri" w:cs="Arial"/>
        </w:rPr>
        <w:t xml:space="preserve"> topics.</w:t>
      </w:r>
    </w:p>
    <w:p w:rsidR="00863C38" w:rsidRDefault="00863C38" w:rsidP="00E1076C">
      <w:pPr>
        <w:rPr>
          <w:rFonts w:eastAsia="Calibri" w:cs="Arial"/>
        </w:rPr>
      </w:pPr>
    </w:p>
    <w:p w:rsidR="00297A30" w:rsidRDefault="00297A30" w:rsidP="00E1076C">
      <w:pPr>
        <w:rPr>
          <w:rFonts w:eastAsia="Calibri" w:cs="Arial"/>
        </w:rPr>
      </w:pPr>
      <w:r>
        <w:rPr>
          <w:rFonts w:eastAsia="Calibri" w:cs="Arial"/>
        </w:rPr>
        <w:t>Disabled people (</w:t>
      </w:r>
      <w:r w:rsidR="005E2B32">
        <w:rPr>
          <w:rFonts w:eastAsia="Calibri" w:cs="Arial"/>
        </w:rPr>
        <w:t>7 percent) and older people (11 percent</w:t>
      </w:r>
      <w:r>
        <w:rPr>
          <w:rFonts w:eastAsia="Calibri" w:cs="Arial"/>
        </w:rPr>
        <w:t xml:space="preserve">) were targeted </w:t>
      </w:r>
      <w:r w:rsidR="005B0A08">
        <w:rPr>
          <w:rFonts w:eastAsia="Calibri" w:cs="Arial"/>
        </w:rPr>
        <w:t>on significantly fewer occasions via performance based activity compared to participation and exhibitions</w:t>
      </w:r>
      <w:r w:rsidR="005E2B32">
        <w:rPr>
          <w:rFonts w:eastAsia="Calibri" w:cs="Arial"/>
        </w:rPr>
        <w:t>.</w:t>
      </w:r>
    </w:p>
    <w:p w:rsidR="00863C38" w:rsidRDefault="00863C38" w:rsidP="00E1076C">
      <w:pPr>
        <w:rPr>
          <w:rFonts w:eastAsia="Calibri" w:cs="Arial"/>
        </w:rPr>
      </w:pPr>
    </w:p>
    <w:p w:rsidR="00863C38" w:rsidRPr="002F2A71" w:rsidRDefault="002F2A71" w:rsidP="002F2A71">
      <w:pPr>
        <w:pStyle w:val="Caption"/>
        <w:rPr>
          <w:rFonts w:eastAsia="Calibri" w:cs="Arial"/>
          <w:b w:val="0"/>
        </w:rPr>
      </w:pPr>
      <w:bookmarkStart w:id="20" w:name="_Toc402964762"/>
      <w:r>
        <w:t xml:space="preserve">Figure </w:t>
      </w:r>
      <w:r w:rsidR="00D3437B">
        <w:fldChar w:fldCharType="begin"/>
      </w:r>
      <w:r w:rsidR="00D3437B">
        <w:instrText xml:space="preserve"> SEQ Figure \* ARABIC </w:instrText>
      </w:r>
      <w:r w:rsidR="00D3437B">
        <w:fldChar w:fldCharType="separate"/>
      </w:r>
      <w:r w:rsidR="00875985">
        <w:rPr>
          <w:noProof/>
        </w:rPr>
        <w:t>6</w:t>
      </w:r>
      <w:r w:rsidR="00D3437B">
        <w:rPr>
          <w:noProof/>
        </w:rPr>
        <w:fldChar w:fldCharType="end"/>
      </w:r>
      <w:r>
        <w:t xml:space="preserve">: </w:t>
      </w:r>
      <w:r w:rsidR="005B0A08" w:rsidRPr="002F2A71">
        <w:rPr>
          <w:rFonts w:eastAsia="Calibri" w:cs="Arial"/>
          <w:b w:val="0"/>
        </w:rPr>
        <w:t>Breakdown of groups targeted by form type, 2013/14 (N=7,815)</w:t>
      </w:r>
      <w:bookmarkEnd w:id="20"/>
    </w:p>
    <w:p w:rsidR="005B0A08" w:rsidRDefault="00AF26E3" w:rsidP="005B0A08">
      <w:pPr>
        <w:spacing w:after="200"/>
      </w:pPr>
      <w:r>
        <w:rPr>
          <w:noProof/>
          <w:lang w:eastAsia="en-GB"/>
        </w:rPr>
        <w:drawing>
          <wp:inline distT="0" distB="0" distL="0" distR="0" wp14:anchorId="0F351403" wp14:editId="024D5E22">
            <wp:extent cx="5656580" cy="3860495"/>
            <wp:effectExtent l="0" t="0" r="20320" b="2603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6D09D2">
        <w:br w:type="page"/>
      </w:r>
    </w:p>
    <w:p w:rsidR="00A77F85" w:rsidRPr="00A77F85" w:rsidRDefault="00A77F85" w:rsidP="00A77F85">
      <w:pPr>
        <w:spacing w:after="200"/>
        <w:rPr>
          <w:bCs/>
        </w:rPr>
      </w:pPr>
      <w:r w:rsidRPr="00A77F85">
        <w:rPr>
          <w:bCs/>
        </w:rPr>
        <w:lastRenderedPageBreak/>
        <w:t xml:space="preserve">Regularly funded organisations use a range of methods to promote access to the arts to overcome physical, attitudinal and procedural barriers that might otherwise inhibit the involvement of the whole community.  </w:t>
      </w:r>
    </w:p>
    <w:p w:rsidR="00322227" w:rsidRDefault="00D424DE" w:rsidP="00322227">
      <w:pPr>
        <w:spacing w:after="200"/>
        <w:rPr>
          <w:bCs/>
        </w:rPr>
      </w:pPr>
      <w:r>
        <w:rPr>
          <w:bCs/>
        </w:rPr>
        <w:t>Figure 7</w:t>
      </w:r>
      <w:r w:rsidR="00322227">
        <w:rPr>
          <w:bCs/>
        </w:rPr>
        <w:t xml:space="preserve"> show the methods used to support access to performances, participation events and exhibitions by core clients.  </w:t>
      </w:r>
      <w:r w:rsidR="00322227" w:rsidRPr="00322227">
        <w:rPr>
          <w:bCs/>
        </w:rPr>
        <w:t>The four most frequently used methods to support access were</w:t>
      </w:r>
      <w:r w:rsidR="00DB5A39">
        <w:rPr>
          <w:bCs/>
        </w:rPr>
        <w:t>:</w:t>
      </w:r>
      <w:r w:rsidR="00322227" w:rsidRPr="00322227">
        <w:rPr>
          <w:bCs/>
        </w:rPr>
        <w:t xml:space="preserve"> promoting </w:t>
      </w:r>
      <w:r w:rsidR="00322227">
        <w:rPr>
          <w:bCs/>
        </w:rPr>
        <w:t>accessibility (69 percent), affordability (62 percent), outreach (39</w:t>
      </w:r>
      <w:r w:rsidR="00322227" w:rsidRPr="00322227">
        <w:rPr>
          <w:bCs/>
        </w:rPr>
        <w:t xml:space="preserve"> p</w:t>
      </w:r>
      <w:r w:rsidR="00322227">
        <w:rPr>
          <w:bCs/>
        </w:rPr>
        <w:t>ercent) and group targeting (36 per</w:t>
      </w:r>
      <w:r w:rsidR="00322227" w:rsidRPr="00322227">
        <w:rPr>
          <w:bCs/>
        </w:rPr>
        <w:t xml:space="preserve">cent). </w:t>
      </w:r>
    </w:p>
    <w:p w:rsidR="00322227" w:rsidRDefault="007068D2" w:rsidP="00322227">
      <w:pPr>
        <w:spacing w:after="200"/>
        <w:rPr>
          <w:bCs/>
        </w:rPr>
      </w:pPr>
      <w:r>
        <w:rPr>
          <w:bCs/>
        </w:rPr>
        <w:t>There are a number of factors that influence the range and extent of methods used by organi</w:t>
      </w:r>
      <w:r w:rsidR="0097781C">
        <w:rPr>
          <w:bCs/>
        </w:rPr>
        <w:t>sations to support access.  These include organisation remit / function and funder priorities.  The cost associated with implementing the method used also plays a significant role, particularly where</w:t>
      </w:r>
      <w:r w:rsidR="009739BE">
        <w:rPr>
          <w:bCs/>
        </w:rPr>
        <w:t xml:space="preserve"> methods used are event / activity specific such as providing text in different format and support worker costs.  The extent to which these methods have been used has fallen over the last three years as programming budgets have become more restricted.</w:t>
      </w:r>
    </w:p>
    <w:p w:rsidR="001509D6" w:rsidRPr="002F2A71" w:rsidRDefault="002F2A71" w:rsidP="002F2A71">
      <w:pPr>
        <w:pStyle w:val="Caption"/>
        <w:rPr>
          <w:rFonts w:eastAsia="Calibri" w:cs="Arial"/>
          <w:b w:val="0"/>
        </w:rPr>
      </w:pPr>
      <w:bookmarkStart w:id="21" w:name="_Toc402964763"/>
      <w:r>
        <w:t xml:space="preserve">Figure </w:t>
      </w:r>
      <w:r w:rsidR="00D3437B">
        <w:fldChar w:fldCharType="begin"/>
      </w:r>
      <w:r w:rsidR="00D3437B">
        <w:instrText xml:space="preserve"> SEQ Figure \* ARABIC </w:instrText>
      </w:r>
      <w:r w:rsidR="00D3437B">
        <w:fldChar w:fldCharType="separate"/>
      </w:r>
      <w:r w:rsidR="00875985">
        <w:rPr>
          <w:noProof/>
        </w:rPr>
        <w:t>7</w:t>
      </w:r>
      <w:r w:rsidR="00D3437B">
        <w:rPr>
          <w:noProof/>
        </w:rPr>
        <w:fldChar w:fldCharType="end"/>
      </w:r>
      <w:r>
        <w:t xml:space="preserve">: </w:t>
      </w:r>
      <w:r w:rsidR="00322227" w:rsidRPr="002F2A71">
        <w:rPr>
          <w:rFonts w:eastAsia="Calibri" w:cs="Arial"/>
          <w:b w:val="0"/>
        </w:rPr>
        <w:t>Breakdown of methods used to support access,</w:t>
      </w:r>
      <w:r w:rsidR="00852FF4" w:rsidRPr="002F2A71">
        <w:rPr>
          <w:rFonts w:eastAsia="Calibri" w:cs="Arial"/>
          <w:b w:val="0"/>
        </w:rPr>
        <w:t xml:space="preserve"> overall,</w:t>
      </w:r>
      <w:r w:rsidR="00322227" w:rsidRPr="002F2A71">
        <w:rPr>
          <w:rFonts w:eastAsia="Calibri" w:cs="Arial"/>
          <w:b w:val="0"/>
        </w:rPr>
        <w:t xml:space="preserve"> 2013/14 (N=7,815)</w:t>
      </w:r>
      <w:bookmarkEnd w:id="21"/>
    </w:p>
    <w:p w:rsidR="001509D6" w:rsidRDefault="00472682" w:rsidP="005B0A08">
      <w:pPr>
        <w:spacing w:after="200"/>
        <w:rPr>
          <w:noProof/>
          <w:lang w:eastAsia="en-GB"/>
        </w:rPr>
      </w:pPr>
      <w:r>
        <w:rPr>
          <w:noProof/>
          <w:lang w:eastAsia="en-GB"/>
        </w:rPr>
        <w:drawing>
          <wp:inline distT="0" distB="0" distL="0" distR="0" wp14:anchorId="6D20E3D0" wp14:editId="21D09BE0">
            <wp:extent cx="5656580" cy="3303270"/>
            <wp:effectExtent l="0" t="0" r="20320" b="114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72682" w:rsidRDefault="00472682" w:rsidP="005B0A08">
      <w:pPr>
        <w:spacing w:after="200"/>
        <w:rPr>
          <w:noProof/>
          <w:lang w:eastAsia="en-GB"/>
        </w:rPr>
      </w:pPr>
    </w:p>
    <w:p w:rsidR="00BA7973" w:rsidRDefault="00BA7973" w:rsidP="005B0A08">
      <w:pPr>
        <w:spacing w:after="200"/>
        <w:rPr>
          <w:noProof/>
          <w:lang w:eastAsia="en-GB"/>
        </w:rPr>
      </w:pPr>
    </w:p>
    <w:p w:rsidR="00BA7973" w:rsidRDefault="00BA7973" w:rsidP="005B0A08">
      <w:pPr>
        <w:spacing w:after="200"/>
        <w:rPr>
          <w:noProof/>
          <w:lang w:eastAsia="en-GB"/>
        </w:rPr>
      </w:pPr>
    </w:p>
    <w:p w:rsidR="00BA7973" w:rsidRDefault="00BA7973" w:rsidP="005B0A08">
      <w:pPr>
        <w:spacing w:after="200"/>
        <w:rPr>
          <w:noProof/>
          <w:lang w:eastAsia="en-GB"/>
        </w:rPr>
      </w:pPr>
    </w:p>
    <w:p w:rsidR="00BA7973" w:rsidRDefault="00BA7973" w:rsidP="005B0A08">
      <w:pPr>
        <w:spacing w:after="200"/>
        <w:rPr>
          <w:noProof/>
          <w:lang w:eastAsia="en-GB"/>
        </w:rPr>
      </w:pPr>
    </w:p>
    <w:p w:rsidR="00BA7973" w:rsidRDefault="00BA7973" w:rsidP="005B0A08">
      <w:pPr>
        <w:spacing w:after="200"/>
        <w:rPr>
          <w:noProof/>
          <w:lang w:eastAsia="en-GB"/>
        </w:rPr>
      </w:pPr>
    </w:p>
    <w:p w:rsidR="00BA7973" w:rsidRDefault="00BA7973" w:rsidP="005B0A08">
      <w:pPr>
        <w:spacing w:after="200"/>
        <w:rPr>
          <w:noProof/>
          <w:lang w:eastAsia="en-GB"/>
        </w:rPr>
      </w:pPr>
    </w:p>
    <w:p w:rsidR="00BA7973" w:rsidRDefault="00BA7973" w:rsidP="005B0A08">
      <w:pPr>
        <w:spacing w:after="200"/>
        <w:rPr>
          <w:noProof/>
          <w:lang w:eastAsia="en-GB"/>
        </w:rPr>
      </w:pPr>
    </w:p>
    <w:p w:rsidR="00BA7973" w:rsidRDefault="00BA7973" w:rsidP="005B0A08">
      <w:pPr>
        <w:spacing w:after="200"/>
        <w:rPr>
          <w:noProof/>
          <w:lang w:eastAsia="en-GB"/>
        </w:rPr>
      </w:pPr>
    </w:p>
    <w:p w:rsidR="00BA7973" w:rsidRPr="00BA7973" w:rsidRDefault="00D424DE" w:rsidP="00BA7973">
      <w:pPr>
        <w:rPr>
          <w:rFonts w:eastAsia="Calibri" w:cs="Arial"/>
        </w:rPr>
      </w:pPr>
      <w:r>
        <w:rPr>
          <w:rFonts w:eastAsia="Calibri" w:cs="Arial"/>
        </w:rPr>
        <w:t>Figure 8</w:t>
      </w:r>
      <w:r w:rsidR="007A3C47">
        <w:rPr>
          <w:rFonts w:eastAsia="Calibri" w:cs="Arial"/>
        </w:rPr>
        <w:t xml:space="preserve"> shows little significant variation on methods used to support access by activity area.  The only variability of note being the increased tendency for participation based activity to be associated with outreach (56 percent) and group targeting (46 percent) based activity.  Significantly less outreach activity and group targeting work was combined with performance based activity, extensively due to the marketing work of larger performance based venues which was targeted at the general population level. </w:t>
      </w:r>
    </w:p>
    <w:p w:rsidR="007A3C47" w:rsidRDefault="007A3C47" w:rsidP="00BA7973">
      <w:pPr>
        <w:rPr>
          <w:rFonts w:eastAsia="Calibri" w:cs="Arial"/>
        </w:rPr>
      </w:pPr>
    </w:p>
    <w:p w:rsidR="00BA7973" w:rsidRPr="002F2A71" w:rsidRDefault="002F2A71" w:rsidP="002F2A71">
      <w:pPr>
        <w:pStyle w:val="Caption"/>
        <w:rPr>
          <w:rFonts w:eastAsia="Calibri" w:cs="Arial"/>
          <w:b w:val="0"/>
        </w:rPr>
      </w:pPr>
      <w:bookmarkStart w:id="22" w:name="_Toc402964764"/>
      <w:r>
        <w:t xml:space="preserve">Figure </w:t>
      </w:r>
      <w:r w:rsidR="00D3437B">
        <w:fldChar w:fldCharType="begin"/>
      </w:r>
      <w:r w:rsidR="00D3437B">
        <w:instrText xml:space="preserve"> SEQ Figure \* ARABIC </w:instrText>
      </w:r>
      <w:r w:rsidR="00D3437B">
        <w:fldChar w:fldCharType="separate"/>
      </w:r>
      <w:r w:rsidR="00875985">
        <w:rPr>
          <w:noProof/>
        </w:rPr>
        <w:t>8</w:t>
      </w:r>
      <w:r w:rsidR="00D3437B">
        <w:rPr>
          <w:noProof/>
        </w:rPr>
        <w:fldChar w:fldCharType="end"/>
      </w:r>
      <w:r>
        <w:t xml:space="preserve">: </w:t>
      </w:r>
      <w:r w:rsidR="00BA7973" w:rsidRPr="002F2A71">
        <w:rPr>
          <w:rFonts w:eastAsia="Calibri" w:cs="Arial"/>
          <w:b w:val="0"/>
        </w:rPr>
        <w:t>Breakdown of methods used to support access by activity area, 2013/14 (N=7,815)</w:t>
      </w:r>
      <w:bookmarkEnd w:id="22"/>
    </w:p>
    <w:p w:rsidR="00472682" w:rsidRDefault="00BA7973" w:rsidP="005B0A08">
      <w:pPr>
        <w:spacing w:after="200"/>
        <w:rPr>
          <w:noProof/>
          <w:lang w:eastAsia="en-GB"/>
        </w:rPr>
      </w:pPr>
      <w:r>
        <w:rPr>
          <w:noProof/>
          <w:lang w:eastAsia="en-GB"/>
        </w:rPr>
        <w:drawing>
          <wp:inline distT="0" distB="0" distL="0" distR="0" wp14:anchorId="5AF8ADC6" wp14:editId="112F7720">
            <wp:extent cx="5267325" cy="5029200"/>
            <wp:effectExtent l="0" t="0" r="9525"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C6A77" w:rsidRDefault="005C6A77">
      <w:pPr>
        <w:spacing w:after="200"/>
        <w:rPr>
          <w:noProof/>
          <w:lang w:eastAsia="en-GB"/>
        </w:rPr>
      </w:pPr>
      <w:r>
        <w:rPr>
          <w:noProof/>
          <w:lang w:eastAsia="en-GB"/>
        </w:rPr>
        <w:br w:type="page"/>
      </w:r>
    </w:p>
    <w:p w:rsidR="00472682" w:rsidRDefault="00472682" w:rsidP="005B0A08">
      <w:pPr>
        <w:spacing w:after="200"/>
        <w:rPr>
          <w:noProof/>
          <w:lang w:eastAsia="en-GB"/>
        </w:rPr>
      </w:pPr>
    </w:p>
    <w:p w:rsidR="00CB6FD3" w:rsidRPr="002F2A71" w:rsidRDefault="002F2A71" w:rsidP="002F2A71">
      <w:pPr>
        <w:pStyle w:val="Caption"/>
        <w:rPr>
          <w:rFonts w:eastAsia="Calibri" w:cs="Arial"/>
          <w:b w:val="0"/>
        </w:rPr>
      </w:pPr>
      <w:bookmarkStart w:id="23" w:name="_Toc402964765"/>
      <w:r>
        <w:t xml:space="preserve">Figure </w:t>
      </w:r>
      <w:r w:rsidR="00D3437B">
        <w:fldChar w:fldCharType="begin"/>
      </w:r>
      <w:r w:rsidR="00D3437B">
        <w:instrText xml:space="preserve"> SEQ Figure \* ARABIC </w:instrText>
      </w:r>
      <w:r w:rsidR="00D3437B">
        <w:fldChar w:fldCharType="separate"/>
      </w:r>
      <w:r w:rsidR="00875985">
        <w:rPr>
          <w:noProof/>
        </w:rPr>
        <w:t>9</w:t>
      </w:r>
      <w:r w:rsidR="00D3437B">
        <w:rPr>
          <w:noProof/>
        </w:rPr>
        <w:fldChar w:fldCharType="end"/>
      </w:r>
      <w:r>
        <w:t xml:space="preserve">: </w:t>
      </w:r>
      <w:r w:rsidR="0057160E" w:rsidRPr="002F2A71">
        <w:rPr>
          <w:rFonts w:eastAsia="Calibri" w:cs="Arial"/>
          <w:b w:val="0"/>
        </w:rPr>
        <w:t>Breakdown of venues used to deliver activity, 2013/14 (N=7,319)</w:t>
      </w:r>
      <w:bookmarkEnd w:id="23"/>
    </w:p>
    <w:p w:rsidR="00CB6FD3" w:rsidRDefault="00CB6FD3" w:rsidP="005B0A08">
      <w:pPr>
        <w:spacing w:after="200"/>
        <w:rPr>
          <w:noProof/>
          <w:lang w:eastAsia="en-GB"/>
        </w:rPr>
      </w:pPr>
      <w:r>
        <w:rPr>
          <w:noProof/>
          <w:lang w:eastAsia="en-GB"/>
        </w:rPr>
        <w:drawing>
          <wp:inline distT="0" distB="0" distL="0" distR="0" wp14:anchorId="64F9B335" wp14:editId="5A5CD504">
            <wp:extent cx="5124450" cy="4148138"/>
            <wp:effectExtent l="0" t="0" r="19050" b="2413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77F85" w:rsidRDefault="00D424DE" w:rsidP="00A77F85">
      <w:pPr>
        <w:spacing w:after="200"/>
        <w:rPr>
          <w:noProof/>
          <w:lang w:eastAsia="en-GB"/>
        </w:rPr>
      </w:pPr>
      <w:r>
        <w:rPr>
          <w:noProof/>
          <w:lang w:eastAsia="en-GB"/>
        </w:rPr>
        <w:t>Figure 9</w:t>
      </w:r>
      <w:r w:rsidR="00A77F85" w:rsidRPr="00A77F85">
        <w:rPr>
          <w:noProof/>
          <w:lang w:eastAsia="en-GB"/>
        </w:rPr>
        <w:t xml:space="preserve"> shows the breakdown of the type of venues used.  </w:t>
      </w:r>
      <w:r w:rsidR="00A77F85">
        <w:rPr>
          <w:noProof/>
          <w:lang w:eastAsia="en-GB"/>
        </w:rPr>
        <w:t>A</w:t>
      </w:r>
      <w:r w:rsidR="00A77F85" w:rsidRPr="00A77F85">
        <w:rPr>
          <w:noProof/>
          <w:lang w:eastAsia="en-GB"/>
        </w:rPr>
        <w:t xml:space="preserve"> large proportion of activity</w:t>
      </w:r>
      <w:r w:rsidR="00A77F85">
        <w:rPr>
          <w:noProof/>
          <w:lang w:eastAsia="en-GB"/>
        </w:rPr>
        <w:t xml:space="preserve"> in 2013/14</w:t>
      </w:r>
      <w:r w:rsidR="00A77F85" w:rsidRPr="00A77F85">
        <w:rPr>
          <w:noProof/>
          <w:lang w:eastAsia="en-GB"/>
        </w:rPr>
        <w:t xml:space="preserve"> took place in dedicated</w:t>
      </w:r>
      <w:r w:rsidR="00A77F85">
        <w:rPr>
          <w:noProof/>
          <w:lang w:eastAsia="en-GB"/>
        </w:rPr>
        <w:t xml:space="preserve"> arts</w:t>
      </w:r>
      <w:r w:rsidR="00A77F85" w:rsidRPr="00A77F85">
        <w:rPr>
          <w:noProof/>
          <w:lang w:eastAsia="en-GB"/>
        </w:rPr>
        <w:t xml:space="preserve"> venues</w:t>
      </w:r>
      <w:r w:rsidR="00A77F85">
        <w:rPr>
          <w:noProof/>
          <w:lang w:eastAsia="en-GB"/>
        </w:rPr>
        <w:t xml:space="preserve"> such as arts centres (27 percent) and theatres (22 perce</w:t>
      </w:r>
      <w:r w:rsidR="00F63EEC">
        <w:rPr>
          <w:noProof/>
          <w:lang w:eastAsia="en-GB"/>
        </w:rPr>
        <w:t>n</w:t>
      </w:r>
      <w:r w:rsidR="00A77F85">
        <w:rPr>
          <w:noProof/>
          <w:lang w:eastAsia="en-GB"/>
        </w:rPr>
        <w:t>t).</w:t>
      </w:r>
    </w:p>
    <w:p w:rsidR="00A77F85" w:rsidRDefault="00A77F85" w:rsidP="00A77F85">
      <w:pPr>
        <w:spacing w:after="200"/>
        <w:rPr>
          <w:noProof/>
          <w:lang w:eastAsia="en-GB"/>
        </w:rPr>
      </w:pPr>
      <w:r>
        <w:rPr>
          <w:noProof/>
          <w:lang w:eastAsia="en-GB"/>
        </w:rPr>
        <w:t xml:space="preserve">There was little change in the proportion of activity taking place in these locations.  However, the trend for activity to be delivered in venues and at locations not normally associated with arts activity continues this year with an increasingly larger proportion of activity being delivered </w:t>
      </w:r>
      <w:r w:rsidR="003E44DF">
        <w:rPr>
          <w:noProof/>
          <w:lang w:eastAsia="en-GB"/>
        </w:rPr>
        <w:t xml:space="preserve">in community organisations, youth clubs and outdoor locations.  </w:t>
      </w:r>
      <w:r w:rsidR="003E44DF" w:rsidRPr="00A77F85">
        <w:rPr>
          <w:noProof/>
          <w:lang w:eastAsia="en-GB"/>
        </w:rPr>
        <w:t>This reflects an increasingly mobile arts sector, able to engage communities wi</w:t>
      </w:r>
      <w:r w:rsidR="00A724DE">
        <w:rPr>
          <w:noProof/>
          <w:lang w:eastAsia="en-GB"/>
        </w:rPr>
        <w:t>thin their own neighbourhoods.</w:t>
      </w:r>
    </w:p>
    <w:p w:rsidR="00472682" w:rsidRDefault="00472682" w:rsidP="005B0A08">
      <w:pPr>
        <w:spacing w:after="200"/>
        <w:rPr>
          <w:noProof/>
          <w:lang w:eastAsia="en-GB"/>
        </w:rPr>
      </w:pPr>
    </w:p>
    <w:p w:rsidR="00472682" w:rsidRDefault="00472682" w:rsidP="005B0A08">
      <w:pPr>
        <w:spacing w:after="200"/>
        <w:rPr>
          <w:noProof/>
          <w:lang w:eastAsia="en-GB"/>
        </w:rPr>
      </w:pPr>
    </w:p>
    <w:p w:rsidR="00472682" w:rsidRDefault="00472682" w:rsidP="005B0A08">
      <w:pPr>
        <w:spacing w:after="200"/>
        <w:rPr>
          <w:noProof/>
          <w:lang w:eastAsia="en-GB"/>
        </w:rPr>
      </w:pPr>
    </w:p>
    <w:p w:rsidR="00472682" w:rsidRDefault="00472682" w:rsidP="005B0A08">
      <w:pPr>
        <w:spacing w:after="200"/>
        <w:rPr>
          <w:noProof/>
          <w:lang w:eastAsia="en-GB"/>
        </w:rPr>
      </w:pPr>
    </w:p>
    <w:p w:rsidR="00472682" w:rsidRDefault="00472682" w:rsidP="005B0A08">
      <w:pPr>
        <w:spacing w:after="200"/>
        <w:rPr>
          <w:noProof/>
          <w:lang w:eastAsia="en-GB"/>
        </w:rPr>
      </w:pPr>
    </w:p>
    <w:p w:rsidR="00472682" w:rsidRDefault="00472682" w:rsidP="005B0A08">
      <w:pPr>
        <w:spacing w:after="200"/>
        <w:rPr>
          <w:noProof/>
          <w:lang w:eastAsia="en-GB"/>
        </w:rPr>
      </w:pPr>
    </w:p>
    <w:p w:rsidR="00472682" w:rsidRDefault="00472682" w:rsidP="005B0A08">
      <w:pPr>
        <w:spacing w:after="200"/>
        <w:rPr>
          <w:noProof/>
          <w:lang w:eastAsia="en-GB"/>
        </w:rPr>
      </w:pPr>
    </w:p>
    <w:p w:rsidR="00472682" w:rsidRDefault="00CA6A74" w:rsidP="00CA6A74">
      <w:pPr>
        <w:pStyle w:val="Heading1"/>
        <w:rPr>
          <w:noProof/>
          <w:lang w:eastAsia="en-GB"/>
        </w:rPr>
      </w:pPr>
      <w:bookmarkStart w:id="24" w:name="_Toc403986354"/>
      <w:r>
        <w:rPr>
          <w:noProof/>
          <w:lang w:eastAsia="en-GB"/>
        </w:rPr>
        <w:lastRenderedPageBreak/>
        <w:t>Participation based activity</w:t>
      </w:r>
      <w:bookmarkEnd w:id="24"/>
    </w:p>
    <w:p w:rsidR="00CA6A74" w:rsidRPr="00CA6A74" w:rsidRDefault="00CA6A74" w:rsidP="00CA6A74">
      <w:pPr>
        <w:spacing w:after="200"/>
        <w:rPr>
          <w:bCs/>
        </w:rPr>
      </w:pPr>
      <w:r w:rsidRPr="00CA6A74">
        <w:rPr>
          <w:bCs/>
        </w:rPr>
        <w:t xml:space="preserve">Regularly funded organisations deliver a range of participation based activity such as workshops, seminars, classes and outreach work and details of these form part of their annual returns.  </w:t>
      </w:r>
    </w:p>
    <w:p w:rsidR="00CA6A74" w:rsidRDefault="00CA6A74" w:rsidP="00CA6A74">
      <w:pPr>
        <w:spacing w:after="200"/>
        <w:rPr>
          <w:bCs/>
        </w:rPr>
      </w:pPr>
      <w:r>
        <w:rPr>
          <w:bCs/>
        </w:rPr>
        <w:t>In 2013/14</w:t>
      </w:r>
      <w:r w:rsidRPr="00CA6A74">
        <w:rPr>
          <w:bCs/>
        </w:rPr>
        <w:t>,</w:t>
      </w:r>
      <w:r>
        <w:rPr>
          <w:bCs/>
        </w:rPr>
        <w:t xml:space="preserve"> 97 organisations reported delivering participation based activities, 88 percent of the total portfolio for the year.  The</w:t>
      </w:r>
      <w:r w:rsidR="00BF44AA">
        <w:rPr>
          <w:bCs/>
        </w:rPr>
        <w:t>se organisations delivered 4,693</w:t>
      </w:r>
      <w:r>
        <w:rPr>
          <w:bCs/>
        </w:rPr>
        <w:t xml:space="preserve"> activities and engaged with 427,006 individuals.</w:t>
      </w:r>
    </w:p>
    <w:p w:rsidR="00DA1216" w:rsidRDefault="00115ACE" w:rsidP="00CA6A74">
      <w:pPr>
        <w:spacing w:after="200"/>
        <w:rPr>
          <w:bCs/>
        </w:rPr>
      </w:pPr>
      <w:r>
        <w:rPr>
          <w:bCs/>
        </w:rPr>
        <w:t>Comparison with 2012/13 based on a constant sample of 73 organisations shows an increase of 12 percent in the number of activities delivered.  However, there was also a significant decrease</w:t>
      </w:r>
      <w:r w:rsidR="00DA1216">
        <w:rPr>
          <w:bCs/>
        </w:rPr>
        <w:t xml:space="preserve"> in the number of participant (</w:t>
      </w:r>
      <w:r>
        <w:rPr>
          <w:bCs/>
        </w:rPr>
        <w:t>15 perce</w:t>
      </w:r>
      <w:r w:rsidR="00DA1216">
        <w:rPr>
          <w:bCs/>
        </w:rPr>
        <w:t>nt).</w:t>
      </w:r>
    </w:p>
    <w:p w:rsidR="00115ACE" w:rsidRPr="00DA1216" w:rsidRDefault="002F2A71" w:rsidP="002F2A71">
      <w:pPr>
        <w:pStyle w:val="Caption"/>
        <w:rPr>
          <w:rFonts w:eastAsia="Calibri" w:cs="Arial"/>
        </w:rPr>
      </w:pPr>
      <w:proofErr w:type="gramStart"/>
      <w:r>
        <w:t xml:space="preserve">Table </w:t>
      </w:r>
      <w:r w:rsidR="00D3437B">
        <w:fldChar w:fldCharType="begin"/>
      </w:r>
      <w:r w:rsidR="00D3437B">
        <w:instrText xml:space="preserve"> SEQ Table \* ARABIC </w:instrText>
      </w:r>
      <w:r w:rsidR="00D3437B">
        <w:fldChar w:fldCharType="separate"/>
      </w:r>
      <w:r w:rsidR="00875985">
        <w:rPr>
          <w:noProof/>
        </w:rPr>
        <w:t>6</w:t>
      </w:r>
      <w:r w:rsidR="00D3437B">
        <w:rPr>
          <w:noProof/>
        </w:rPr>
        <w:fldChar w:fldCharType="end"/>
      </w:r>
      <w:r>
        <w:t xml:space="preserve">: </w:t>
      </w:r>
      <w:r w:rsidR="00DA1216" w:rsidRPr="002F2A71">
        <w:rPr>
          <w:rFonts w:eastAsia="Calibri" w:cs="Arial"/>
          <w:b w:val="0"/>
        </w:rPr>
        <w:t>Number of participants (full and constant sample), 2012/13 and 2013/14.</w:t>
      </w:r>
      <w:proofErr w:type="gramEnd"/>
      <w:r w:rsidR="00115ACE">
        <w:rPr>
          <w:rFonts w:eastAsia="Calibri" w:cs="Arial"/>
        </w:rPr>
        <w:fldChar w:fldCharType="begin"/>
      </w:r>
      <w:r w:rsidR="00115ACE" w:rsidRPr="00DA1216">
        <w:rPr>
          <w:rFonts w:eastAsia="Calibri" w:cs="Arial"/>
        </w:rPr>
        <w:instrText xml:space="preserve"> LINK Excel.Sheet.12 "\\\\fs0.acninet.local\\strategic_share\\Policy &amp; Research Team\\Survey Data Sets\\RFO\\RFO 1314\\1314 Finance\\1314 charts.xlsx" "Participation charts!R5C1:R8C5" \a \f 4 \h  \* MERGEFORMAT </w:instrText>
      </w:r>
      <w:r w:rsidR="00115ACE">
        <w:rPr>
          <w:rFonts w:eastAsia="Calibri" w:cs="Arial"/>
        </w:rPr>
        <w:fldChar w:fldCharType="separate"/>
      </w:r>
    </w:p>
    <w:tbl>
      <w:tblPr>
        <w:tblW w:w="8931" w:type="dxa"/>
        <w:tblInd w:w="108" w:type="dxa"/>
        <w:tblLayout w:type="fixed"/>
        <w:tblLook w:val="04A0" w:firstRow="1" w:lastRow="0" w:firstColumn="1" w:lastColumn="0" w:noHBand="0" w:noVBand="1"/>
      </w:tblPr>
      <w:tblGrid>
        <w:gridCol w:w="970"/>
        <w:gridCol w:w="1990"/>
        <w:gridCol w:w="1990"/>
        <w:gridCol w:w="1990"/>
        <w:gridCol w:w="1991"/>
      </w:tblGrid>
      <w:tr w:rsidR="00115ACE" w:rsidRPr="00115ACE" w:rsidTr="006A747B">
        <w:trPr>
          <w:trHeight w:val="300"/>
        </w:trPr>
        <w:tc>
          <w:tcPr>
            <w:tcW w:w="970" w:type="dxa"/>
            <w:tcBorders>
              <w:top w:val="single" w:sz="4" w:space="0" w:color="auto"/>
              <w:left w:val="nil"/>
              <w:bottom w:val="single" w:sz="4" w:space="0" w:color="auto"/>
              <w:right w:val="single" w:sz="4" w:space="0" w:color="auto"/>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p>
        </w:tc>
        <w:tc>
          <w:tcPr>
            <w:tcW w:w="39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5ACE" w:rsidRPr="00115ACE" w:rsidRDefault="00115ACE" w:rsidP="00115ACE">
            <w:pPr>
              <w:spacing w:line="240" w:lineRule="auto"/>
              <w:jc w:val="center"/>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Full sample</w:t>
            </w:r>
          </w:p>
        </w:tc>
        <w:tc>
          <w:tcPr>
            <w:tcW w:w="3981" w:type="dxa"/>
            <w:gridSpan w:val="2"/>
            <w:tcBorders>
              <w:top w:val="single" w:sz="4" w:space="0" w:color="auto"/>
              <w:left w:val="single" w:sz="4" w:space="0" w:color="auto"/>
              <w:bottom w:val="single" w:sz="4" w:space="0" w:color="auto"/>
              <w:right w:val="nil"/>
            </w:tcBorders>
            <w:shd w:val="clear" w:color="auto" w:fill="auto"/>
            <w:noWrap/>
            <w:vAlign w:val="bottom"/>
            <w:hideMark/>
          </w:tcPr>
          <w:p w:rsidR="00115ACE" w:rsidRPr="00115ACE" w:rsidRDefault="00115ACE" w:rsidP="00115ACE">
            <w:pPr>
              <w:spacing w:line="240" w:lineRule="auto"/>
              <w:jc w:val="center"/>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Constant sample (n=73)</w:t>
            </w:r>
          </w:p>
        </w:tc>
      </w:tr>
      <w:tr w:rsidR="00115ACE" w:rsidRPr="00115ACE" w:rsidTr="006A747B">
        <w:trPr>
          <w:trHeight w:val="300"/>
        </w:trPr>
        <w:tc>
          <w:tcPr>
            <w:tcW w:w="970" w:type="dxa"/>
            <w:tcBorders>
              <w:top w:val="single" w:sz="4" w:space="0" w:color="auto"/>
              <w:left w:val="nil"/>
              <w:bottom w:val="single" w:sz="4" w:space="0" w:color="auto"/>
              <w:right w:val="single" w:sz="4" w:space="0" w:color="auto"/>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p>
        </w:tc>
        <w:tc>
          <w:tcPr>
            <w:tcW w:w="1990" w:type="dxa"/>
            <w:tcBorders>
              <w:top w:val="single" w:sz="4" w:space="0" w:color="auto"/>
              <w:left w:val="single" w:sz="4" w:space="0" w:color="auto"/>
              <w:bottom w:val="single" w:sz="4" w:space="0" w:color="auto"/>
              <w:right w:val="nil"/>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Number of activities</w:t>
            </w:r>
          </w:p>
        </w:tc>
        <w:tc>
          <w:tcPr>
            <w:tcW w:w="1990" w:type="dxa"/>
            <w:tcBorders>
              <w:top w:val="single" w:sz="4" w:space="0" w:color="auto"/>
              <w:left w:val="nil"/>
              <w:bottom w:val="single" w:sz="4" w:space="0" w:color="auto"/>
              <w:right w:val="single" w:sz="4" w:space="0" w:color="auto"/>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Number of participants</w:t>
            </w:r>
          </w:p>
        </w:tc>
        <w:tc>
          <w:tcPr>
            <w:tcW w:w="1990" w:type="dxa"/>
            <w:tcBorders>
              <w:top w:val="single" w:sz="4" w:space="0" w:color="auto"/>
              <w:left w:val="single" w:sz="4" w:space="0" w:color="auto"/>
              <w:bottom w:val="single" w:sz="4" w:space="0" w:color="auto"/>
              <w:right w:val="nil"/>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Number of activities</w:t>
            </w:r>
          </w:p>
        </w:tc>
        <w:tc>
          <w:tcPr>
            <w:tcW w:w="1991" w:type="dxa"/>
            <w:tcBorders>
              <w:top w:val="single" w:sz="4" w:space="0" w:color="auto"/>
              <w:left w:val="nil"/>
              <w:bottom w:val="single" w:sz="4" w:space="0" w:color="auto"/>
              <w:right w:val="nil"/>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Number of participants</w:t>
            </w:r>
          </w:p>
        </w:tc>
      </w:tr>
      <w:tr w:rsidR="00115ACE" w:rsidRPr="00115ACE" w:rsidTr="006A747B">
        <w:trPr>
          <w:trHeight w:val="300"/>
        </w:trPr>
        <w:tc>
          <w:tcPr>
            <w:tcW w:w="970" w:type="dxa"/>
            <w:tcBorders>
              <w:top w:val="single" w:sz="4" w:space="0" w:color="auto"/>
              <w:left w:val="nil"/>
              <w:right w:val="single" w:sz="4" w:space="0" w:color="auto"/>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2012/13</w:t>
            </w:r>
          </w:p>
        </w:tc>
        <w:tc>
          <w:tcPr>
            <w:tcW w:w="1990" w:type="dxa"/>
            <w:tcBorders>
              <w:top w:val="single" w:sz="4" w:space="0" w:color="auto"/>
              <w:left w:val="single" w:sz="4" w:space="0" w:color="auto"/>
              <w:right w:val="nil"/>
            </w:tcBorders>
            <w:shd w:val="clear" w:color="auto" w:fill="auto"/>
            <w:noWrap/>
            <w:vAlign w:val="bottom"/>
            <w:hideMark/>
          </w:tcPr>
          <w:p w:rsidR="00115ACE" w:rsidRPr="00115ACE" w:rsidRDefault="00115ACE" w:rsidP="00115ACE">
            <w:pPr>
              <w:spacing w:line="240" w:lineRule="auto"/>
              <w:jc w:val="right"/>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3,714</w:t>
            </w:r>
          </w:p>
        </w:tc>
        <w:tc>
          <w:tcPr>
            <w:tcW w:w="1990" w:type="dxa"/>
            <w:tcBorders>
              <w:top w:val="single" w:sz="4" w:space="0" w:color="auto"/>
              <w:left w:val="nil"/>
              <w:right w:val="single" w:sz="4" w:space="0" w:color="auto"/>
            </w:tcBorders>
            <w:shd w:val="clear" w:color="auto" w:fill="auto"/>
            <w:noWrap/>
            <w:vAlign w:val="bottom"/>
            <w:hideMark/>
          </w:tcPr>
          <w:p w:rsidR="00115ACE" w:rsidRPr="00115ACE" w:rsidRDefault="00115ACE" w:rsidP="00115ACE">
            <w:pPr>
              <w:spacing w:line="240" w:lineRule="auto"/>
              <w:jc w:val="right"/>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423,138</w:t>
            </w:r>
          </w:p>
        </w:tc>
        <w:tc>
          <w:tcPr>
            <w:tcW w:w="1990" w:type="dxa"/>
            <w:tcBorders>
              <w:top w:val="single" w:sz="4" w:space="0" w:color="auto"/>
              <w:left w:val="single" w:sz="4" w:space="0" w:color="auto"/>
              <w:right w:val="nil"/>
            </w:tcBorders>
            <w:shd w:val="clear" w:color="auto" w:fill="auto"/>
            <w:noWrap/>
            <w:vAlign w:val="bottom"/>
            <w:hideMark/>
          </w:tcPr>
          <w:p w:rsidR="00115ACE" w:rsidRPr="00115ACE" w:rsidRDefault="00115ACE" w:rsidP="00115ACE">
            <w:pPr>
              <w:spacing w:line="240" w:lineRule="auto"/>
              <w:jc w:val="right"/>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3,690</w:t>
            </w:r>
          </w:p>
        </w:tc>
        <w:tc>
          <w:tcPr>
            <w:tcW w:w="1991" w:type="dxa"/>
            <w:tcBorders>
              <w:top w:val="single" w:sz="4" w:space="0" w:color="auto"/>
              <w:left w:val="nil"/>
              <w:right w:val="nil"/>
            </w:tcBorders>
            <w:shd w:val="clear" w:color="auto" w:fill="auto"/>
            <w:noWrap/>
            <w:vAlign w:val="bottom"/>
            <w:hideMark/>
          </w:tcPr>
          <w:p w:rsidR="00115ACE" w:rsidRPr="00115ACE" w:rsidRDefault="00115ACE" w:rsidP="00115ACE">
            <w:pPr>
              <w:spacing w:line="240" w:lineRule="auto"/>
              <w:jc w:val="right"/>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418,795</w:t>
            </w:r>
          </w:p>
        </w:tc>
      </w:tr>
      <w:tr w:rsidR="00115ACE" w:rsidRPr="00115ACE" w:rsidTr="006A747B">
        <w:trPr>
          <w:trHeight w:val="300"/>
        </w:trPr>
        <w:tc>
          <w:tcPr>
            <w:tcW w:w="970" w:type="dxa"/>
            <w:tcBorders>
              <w:top w:val="nil"/>
              <w:left w:val="nil"/>
              <w:bottom w:val="single" w:sz="4" w:space="0" w:color="auto"/>
              <w:right w:val="single" w:sz="4" w:space="0" w:color="auto"/>
            </w:tcBorders>
            <w:shd w:val="clear" w:color="auto" w:fill="auto"/>
            <w:noWrap/>
            <w:vAlign w:val="bottom"/>
            <w:hideMark/>
          </w:tcPr>
          <w:p w:rsidR="00115ACE" w:rsidRPr="00115ACE" w:rsidRDefault="00115ACE" w:rsidP="00115ACE">
            <w:pPr>
              <w:spacing w:line="240" w:lineRule="auto"/>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2013/14</w:t>
            </w:r>
          </w:p>
        </w:tc>
        <w:tc>
          <w:tcPr>
            <w:tcW w:w="1990" w:type="dxa"/>
            <w:tcBorders>
              <w:top w:val="nil"/>
              <w:left w:val="single" w:sz="4" w:space="0" w:color="auto"/>
              <w:bottom w:val="single" w:sz="4" w:space="0" w:color="auto"/>
              <w:right w:val="nil"/>
            </w:tcBorders>
            <w:shd w:val="clear" w:color="auto" w:fill="auto"/>
            <w:noWrap/>
            <w:vAlign w:val="bottom"/>
            <w:hideMark/>
          </w:tcPr>
          <w:p w:rsidR="00115ACE" w:rsidRPr="00115ACE" w:rsidRDefault="00D91F9A" w:rsidP="00115ACE">
            <w:pPr>
              <w:spacing w:line="240" w:lineRule="auto"/>
              <w:jc w:val="right"/>
              <w:rPr>
                <w:rFonts w:ascii="Calibri" w:eastAsia="Times New Roman" w:hAnsi="Calibri" w:cs="Times New Roman"/>
                <w:color w:val="000000"/>
                <w:lang w:eastAsia="en-GB"/>
              </w:rPr>
            </w:pPr>
            <w:r>
              <w:rPr>
                <w:rFonts w:ascii="Calibri" w:eastAsia="Times New Roman" w:hAnsi="Calibri" w:cs="Times New Roman"/>
                <w:color w:val="000000"/>
                <w:lang w:eastAsia="en-GB"/>
              </w:rPr>
              <w:t>4,693</w:t>
            </w:r>
          </w:p>
        </w:tc>
        <w:tc>
          <w:tcPr>
            <w:tcW w:w="1990" w:type="dxa"/>
            <w:tcBorders>
              <w:top w:val="nil"/>
              <w:left w:val="nil"/>
              <w:bottom w:val="single" w:sz="4" w:space="0" w:color="auto"/>
              <w:right w:val="single" w:sz="4" w:space="0" w:color="auto"/>
            </w:tcBorders>
            <w:shd w:val="clear" w:color="auto" w:fill="auto"/>
            <w:noWrap/>
            <w:vAlign w:val="bottom"/>
            <w:hideMark/>
          </w:tcPr>
          <w:p w:rsidR="00115ACE" w:rsidRPr="00115ACE" w:rsidRDefault="00115ACE" w:rsidP="00115ACE">
            <w:pPr>
              <w:spacing w:line="240" w:lineRule="auto"/>
              <w:jc w:val="right"/>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427,006</w:t>
            </w:r>
          </w:p>
        </w:tc>
        <w:tc>
          <w:tcPr>
            <w:tcW w:w="1990" w:type="dxa"/>
            <w:tcBorders>
              <w:top w:val="nil"/>
              <w:left w:val="single" w:sz="4" w:space="0" w:color="auto"/>
              <w:bottom w:val="single" w:sz="4" w:space="0" w:color="auto"/>
              <w:right w:val="nil"/>
            </w:tcBorders>
            <w:shd w:val="clear" w:color="auto" w:fill="auto"/>
            <w:noWrap/>
            <w:vAlign w:val="bottom"/>
            <w:hideMark/>
          </w:tcPr>
          <w:p w:rsidR="00115ACE" w:rsidRPr="00115ACE" w:rsidRDefault="00115ACE" w:rsidP="00115ACE">
            <w:pPr>
              <w:spacing w:line="240" w:lineRule="auto"/>
              <w:jc w:val="right"/>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4,149</w:t>
            </w:r>
          </w:p>
        </w:tc>
        <w:tc>
          <w:tcPr>
            <w:tcW w:w="1991" w:type="dxa"/>
            <w:tcBorders>
              <w:top w:val="nil"/>
              <w:left w:val="nil"/>
              <w:bottom w:val="single" w:sz="4" w:space="0" w:color="auto"/>
              <w:right w:val="nil"/>
            </w:tcBorders>
            <w:shd w:val="clear" w:color="auto" w:fill="auto"/>
            <w:noWrap/>
            <w:vAlign w:val="bottom"/>
            <w:hideMark/>
          </w:tcPr>
          <w:p w:rsidR="00115ACE" w:rsidRPr="00115ACE" w:rsidRDefault="00115ACE" w:rsidP="00115ACE">
            <w:pPr>
              <w:spacing w:line="240" w:lineRule="auto"/>
              <w:jc w:val="right"/>
              <w:rPr>
                <w:rFonts w:ascii="Calibri" w:eastAsia="Times New Roman" w:hAnsi="Calibri" w:cs="Times New Roman"/>
                <w:color w:val="000000"/>
                <w:lang w:eastAsia="en-GB"/>
              </w:rPr>
            </w:pPr>
            <w:r w:rsidRPr="00115ACE">
              <w:rPr>
                <w:rFonts w:ascii="Calibri" w:eastAsia="Times New Roman" w:hAnsi="Calibri" w:cs="Times New Roman"/>
                <w:color w:val="000000"/>
                <w:lang w:eastAsia="en-GB"/>
              </w:rPr>
              <w:t>355,201</w:t>
            </w:r>
          </w:p>
        </w:tc>
      </w:tr>
    </w:tbl>
    <w:p w:rsidR="0082338B" w:rsidRPr="00D91F9A" w:rsidRDefault="00115ACE" w:rsidP="00D91F9A">
      <w:pPr>
        <w:pStyle w:val="Caption"/>
        <w:rPr>
          <w:rFonts w:eastAsia="Calibri" w:cs="Arial"/>
          <w:b w:val="0"/>
        </w:rPr>
      </w:pPr>
      <w:r>
        <w:rPr>
          <w:bCs w:val="0"/>
        </w:rPr>
        <w:fldChar w:fldCharType="end"/>
      </w:r>
      <w:r w:rsidR="00D91F9A" w:rsidRPr="00D91F9A">
        <w:rPr>
          <w:rFonts w:eastAsia="Calibri" w:cs="Arial"/>
          <w:b w:val="0"/>
        </w:rPr>
        <w:t xml:space="preserve">Note: includes both estimate and known participants </w:t>
      </w:r>
    </w:p>
    <w:p w:rsidR="00C070C8" w:rsidRDefault="00D424DE" w:rsidP="00CA6A74">
      <w:pPr>
        <w:spacing w:after="200"/>
      </w:pPr>
      <w:r>
        <w:t>Table 7</w:t>
      </w:r>
      <w:r w:rsidR="00C070C8">
        <w:t xml:space="preserve"> shows a breakdown of the most popular artforms used to deliver participation based activities.  Visual arts was used in 37 percent of activity (n=1,538), followed by Combined arts (18 percent) and Drama (13 percent).  Of note was </w:t>
      </w:r>
      <w:r w:rsidR="00F63EEC">
        <w:t xml:space="preserve">the </w:t>
      </w:r>
      <w:r w:rsidR="00757450">
        <w:t>variety</w:t>
      </w:r>
      <w:r w:rsidR="00C070C8">
        <w:t xml:space="preserve"> of artforms used by organisations to deliver activity, with a </w:t>
      </w:r>
      <w:r w:rsidR="00757450">
        <w:t>significant number using film, culturally specific dance and classical music.</w:t>
      </w:r>
    </w:p>
    <w:p w:rsidR="00A257D9" w:rsidRDefault="002F2A71" w:rsidP="002F2A71">
      <w:pPr>
        <w:pStyle w:val="Caption"/>
        <w:rPr>
          <w:rFonts w:asciiTheme="minorHAnsi" w:hAnsiTheme="minorHAnsi"/>
        </w:rPr>
      </w:pPr>
      <w:r>
        <w:t xml:space="preserve">Table </w:t>
      </w:r>
      <w:r w:rsidR="00D3437B">
        <w:fldChar w:fldCharType="begin"/>
      </w:r>
      <w:r w:rsidR="00D3437B">
        <w:instrText xml:space="preserve"> SEQ Table \* ARABIC </w:instrText>
      </w:r>
      <w:r w:rsidR="00D3437B">
        <w:fldChar w:fldCharType="separate"/>
      </w:r>
      <w:r w:rsidR="00875985">
        <w:rPr>
          <w:noProof/>
        </w:rPr>
        <w:t>7</w:t>
      </w:r>
      <w:r w:rsidR="00D3437B">
        <w:rPr>
          <w:noProof/>
        </w:rPr>
        <w:fldChar w:fldCharType="end"/>
      </w:r>
      <w:r>
        <w:t xml:space="preserve">: </w:t>
      </w:r>
      <w:r w:rsidR="00C070C8" w:rsidRPr="002F2A71">
        <w:rPr>
          <w:rFonts w:eastAsia="Calibri" w:cs="Arial"/>
          <w:b w:val="0"/>
        </w:rPr>
        <w:t>Breakdown of artforms used in participation based activity, 2013/14</w:t>
      </w:r>
      <w:r w:rsidR="00A257D9">
        <w:fldChar w:fldCharType="begin"/>
      </w:r>
      <w:r w:rsidR="00A257D9">
        <w:instrText xml:space="preserve"> LINK Excel.Sheet.12 "\\\\fs0.acninet.local\\strategic_share\\Policy &amp; Research Team\\Survey Data Sets\\RFO\\RFO 1314\\1314 Finance\\1314 charts.xlsx" "Participation charts!R14C3:R23C5" \a \f 4 \h  \* MERGEFORMAT </w:instrText>
      </w:r>
      <w:r w:rsidR="00A257D9">
        <w:fldChar w:fldCharType="separate"/>
      </w:r>
    </w:p>
    <w:tbl>
      <w:tblPr>
        <w:tblW w:w="7740" w:type="dxa"/>
        <w:tblInd w:w="108" w:type="dxa"/>
        <w:tblLook w:val="04A0" w:firstRow="1" w:lastRow="0" w:firstColumn="1" w:lastColumn="0" w:noHBand="0" w:noVBand="1"/>
      </w:tblPr>
      <w:tblGrid>
        <w:gridCol w:w="2835"/>
        <w:gridCol w:w="2505"/>
        <w:gridCol w:w="2400"/>
      </w:tblGrid>
      <w:tr w:rsidR="00A257D9" w:rsidRPr="00A257D9" w:rsidTr="00C070C8">
        <w:trPr>
          <w:trHeight w:val="300"/>
        </w:trPr>
        <w:tc>
          <w:tcPr>
            <w:tcW w:w="2835" w:type="dxa"/>
            <w:tcBorders>
              <w:top w:val="single" w:sz="4" w:space="0" w:color="auto"/>
              <w:left w:val="nil"/>
              <w:bottom w:val="single" w:sz="4" w:space="0" w:color="auto"/>
              <w:right w:val="nil"/>
            </w:tcBorders>
            <w:shd w:val="clear" w:color="auto" w:fill="auto"/>
            <w:noWrap/>
            <w:vAlign w:val="bottom"/>
          </w:tcPr>
          <w:p w:rsidR="00A257D9" w:rsidRPr="00A257D9" w:rsidRDefault="00A257D9" w:rsidP="00A257D9">
            <w:pPr>
              <w:spacing w:line="240" w:lineRule="auto"/>
              <w:rPr>
                <w:rFonts w:ascii="Calibri" w:eastAsia="Times New Roman" w:hAnsi="Calibri" w:cs="Times New Roman"/>
                <w:b/>
                <w:color w:val="000000"/>
                <w:lang w:eastAsia="en-GB"/>
              </w:rPr>
            </w:pPr>
            <w:r w:rsidRPr="00A257D9">
              <w:rPr>
                <w:rFonts w:ascii="Calibri" w:eastAsia="Times New Roman" w:hAnsi="Calibri" w:cs="Times New Roman"/>
                <w:b/>
                <w:color w:val="000000"/>
                <w:lang w:eastAsia="en-GB"/>
              </w:rPr>
              <w:t>Artform</w:t>
            </w:r>
          </w:p>
        </w:tc>
        <w:tc>
          <w:tcPr>
            <w:tcW w:w="2505" w:type="dxa"/>
            <w:tcBorders>
              <w:top w:val="single" w:sz="4" w:space="0" w:color="auto"/>
              <w:left w:val="nil"/>
              <w:bottom w:val="single" w:sz="4" w:space="0" w:color="auto"/>
              <w:right w:val="nil"/>
            </w:tcBorders>
            <w:shd w:val="clear" w:color="auto" w:fill="auto"/>
            <w:noWrap/>
            <w:vAlign w:val="bottom"/>
          </w:tcPr>
          <w:p w:rsidR="00A257D9" w:rsidRPr="00A257D9" w:rsidRDefault="004F09BE" w:rsidP="00A257D9">
            <w:pPr>
              <w:spacing w:line="240" w:lineRule="auto"/>
              <w:jc w:val="right"/>
              <w:rPr>
                <w:rFonts w:ascii="Calibri" w:eastAsia="Times New Roman" w:hAnsi="Calibri" w:cs="Times New Roman"/>
                <w:b/>
                <w:color w:val="000000"/>
                <w:lang w:eastAsia="en-GB"/>
              </w:rPr>
            </w:pPr>
            <w:r>
              <w:rPr>
                <w:rFonts w:ascii="Calibri" w:eastAsia="Times New Roman" w:hAnsi="Calibri" w:cs="Times New Roman"/>
                <w:b/>
                <w:color w:val="000000"/>
                <w:lang w:eastAsia="en-GB"/>
              </w:rPr>
              <w:t>Number of activities</w:t>
            </w:r>
          </w:p>
        </w:tc>
        <w:tc>
          <w:tcPr>
            <w:tcW w:w="2400" w:type="dxa"/>
            <w:tcBorders>
              <w:top w:val="single" w:sz="4" w:space="0" w:color="auto"/>
              <w:left w:val="nil"/>
              <w:bottom w:val="single" w:sz="4" w:space="0" w:color="auto"/>
              <w:right w:val="nil"/>
            </w:tcBorders>
            <w:shd w:val="clear" w:color="auto" w:fill="auto"/>
            <w:noWrap/>
            <w:vAlign w:val="bottom"/>
          </w:tcPr>
          <w:p w:rsidR="00A257D9" w:rsidRPr="00A257D9" w:rsidRDefault="00A257D9" w:rsidP="00A257D9">
            <w:pPr>
              <w:spacing w:line="240" w:lineRule="auto"/>
              <w:jc w:val="right"/>
              <w:rPr>
                <w:rFonts w:ascii="Calibri" w:eastAsia="Times New Roman" w:hAnsi="Calibri" w:cs="Times New Roman"/>
                <w:b/>
                <w:color w:val="000000"/>
                <w:lang w:eastAsia="en-GB"/>
              </w:rPr>
            </w:pPr>
            <w:r w:rsidRPr="00A257D9">
              <w:rPr>
                <w:rFonts w:ascii="Calibri" w:eastAsia="Times New Roman" w:hAnsi="Calibri" w:cs="Times New Roman"/>
                <w:b/>
                <w:color w:val="000000"/>
                <w:lang w:eastAsia="en-GB"/>
              </w:rPr>
              <w:t>Percentage</w:t>
            </w:r>
          </w:p>
        </w:tc>
      </w:tr>
      <w:tr w:rsidR="00A257D9" w:rsidRPr="00A257D9" w:rsidTr="00C070C8">
        <w:trPr>
          <w:trHeight w:val="300"/>
        </w:trPr>
        <w:tc>
          <w:tcPr>
            <w:tcW w:w="2835" w:type="dxa"/>
            <w:tcBorders>
              <w:top w:val="single" w:sz="4" w:space="0" w:color="auto"/>
              <w:left w:val="nil"/>
              <w:bottom w:val="nil"/>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Visual Arts</w:t>
            </w:r>
          </w:p>
        </w:tc>
        <w:tc>
          <w:tcPr>
            <w:tcW w:w="2505" w:type="dxa"/>
            <w:tcBorders>
              <w:top w:val="single" w:sz="4" w:space="0" w:color="auto"/>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1</w:t>
            </w:r>
            <w:r w:rsidR="00C070C8">
              <w:rPr>
                <w:rFonts w:ascii="Calibri" w:eastAsia="Times New Roman" w:hAnsi="Calibri" w:cs="Times New Roman"/>
                <w:color w:val="000000"/>
                <w:lang w:eastAsia="en-GB"/>
              </w:rPr>
              <w:t>,</w:t>
            </w:r>
            <w:r w:rsidRPr="00A257D9">
              <w:rPr>
                <w:rFonts w:ascii="Calibri" w:eastAsia="Times New Roman" w:hAnsi="Calibri" w:cs="Times New Roman"/>
                <w:color w:val="000000"/>
                <w:lang w:eastAsia="en-GB"/>
              </w:rPr>
              <w:t>538</w:t>
            </w:r>
          </w:p>
        </w:tc>
        <w:tc>
          <w:tcPr>
            <w:tcW w:w="2400" w:type="dxa"/>
            <w:tcBorders>
              <w:top w:val="single" w:sz="4" w:space="0" w:color="auto"/>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37%</w:t>
            </w:r>
          </w:p>
        </w:tc>
      </w:tr>
      <w:tr w:rsidR="00A257D9" w:rsidRPr="00A257D9" w:rsidTr="00C070C8">
        <w:trPr>
          <w:trHeight w:val="300"/>
        </w:trPr>
        <w:tc>
          <w:tcPr>
            <w:tcW w:w="283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Combined arts</w:t>
            </w:r>
          </w:p>
        </w:tc>
        <w:tc>
          <w:tcPr>
            <w:tcW w:w="250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736</w:t>
            </w:r>
          </w:p>
        </w:tc>
        <w:tc>
          <w:tcPr>
            <w:tcW w:w="2400"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18%</w:t>
            </w:r>
          </w:p>
        </w:tc>
      </w:tr>
      <w:tr w:rsidR="00A257D9" w:rsidRPr="00A257D9" w:rsidTr="00C070C8">
        <w:trPr>
          <w:trHeight w:val="300"/>
        </w:trPr>
        <w:tc>
          <w:tcPr>
            <w:tcW w:w="283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Drama</w:t>
            </w:r>
          </w:p>
        </w:tc>
        <w:tc>
          <w:tcPr>
            <w:tcW w:w="250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546</w:t>
            </w:r>
          </w:p>
        </w:tc>
        <w:tc>
          <w:tcPr>
            <w:tcW w:w="2400"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13%</w:t>
            </w:r>
          </w:p>
        </w:tc>
      </w:tr>
      <w:tr w:rsidR="00A257D9" w:rsidRPr="00A257D9" w:rsidTr="00C070C8">
        <w:trPr>
          <w:trHeight w:val="300"/>
        </w:trPr>
        <w:tc>
          <w:tcPr>
            <w:tcW w:w="283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Crafts</w:t>
            </w:r>
          </w:p>
        </w:tc>
        <w:tc>
          <w:tcPr>
            <w:tcW w:w="250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488</w:t>
            </w:r>
          </w:p>
        </w:tc>
        <w:tc>
          <w:tcPr>
            <w:tcW w:w="2400"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12%</w:t>
            </w:r>
          </w:p>
        </w:tc>
      </w:tr>
      <w:tr w:rsidR="00A257D9" w:rsidRPr="00A257D9" w:rsidTr="00C070C8">
        <w:trPr>
          <w:trHeight w:val="300"/>
        </w:trPr>
        <w:tc>
          <w:tcPr>
            <w:tcW w:w="283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Other music</w:t>
            </w:r>
          </w:p>
        </w:tc>
        <w:tc>
          <w:tcPr>
            <w:tcW w:w="250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466</w:t>
            </w:r>
          </w:p>
        </w:tc>
        <w:tc>
          <w:tcPr>
            <w:tcW w:w="2400"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11%</w:t>
            </w:r>
          </w:p>
        </w:tc>
      </w:tr>
      <w:tr w:rsidR="00A257D9" w:rsidRPr="00A257D9" w:rsidTr="00C070C8">
        <w:trPr>
          <w:trHeight w:val="300"/>
        </w:trPr>
        <w:tc>
          <w:tcPr>
            <w:tcW w:w="283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Culturally specific music</w:t>
            </w:r>
          </w:p>
        </w:tc>
        <w:tc>
          <w:tcPr>
            <w:tcW w:w="250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347</w:t>
            </w:r>
          </w:p>
        </w:tc>
        <w:tc>
          <w:tcPr>
            <w:tcW w:w="2400"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8%</w:t>
            </w:r>
          </w:p>
        </w:tc>
      </w:tr>
      <w:tr w:rsidR="00A257D9" w:rsidRPr="00A257D9" w:rsidTr="00C070C8">
        <w:trPr>
          <w:trHeight w:val="300"/>
        </w:trPr>
        <w:tc>
          <w:tcPr>
            <w:tcW w:w="2835" w:type="dxa"/>
            <w:tcBorders>
              <w:top w:val="nil"/>
              <w:left w:val="nil"/>
              <w:bottom w:val="nil"/>
              <w:right w:val="nil"/>
            </w:tcBorders>
            <w:shd w:val="clear" w:color="auto" w:fill="auto"/>
            <w:noWrap/>
            <w:vAlign w:val="bottom"/>
            <w:hideMark/>
          </w:tcPr>
          <w:p w:rsidR="00A257D9" w:rsidRPr="00A257D9" w:rsidRDefault="00C070C8"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Children’s</w:t>
            </w:r>
            <w:r w:rsidR="00A257D9" w:rsidRPr="00A257D9">
              <w:rPr>
                <w:rFonts w:ascii="Calibri" w:eastAsia="Times New Roman" w:hAnsi="Calibri" w:cs="Times New Roman"/>
                <w:color w:val="000000"/>
                <w:lang w:eastAsia="en-GB"/>
              </w:rPr>
              <w:t xml:space="preserve"> youth theatre</w:t>
            </w:r>
          </w:p>
        </w:tc>
        <w:tc>
          <w:tcPr>
            <w:tcW w:w="250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251</w:t>
            </w:r>
          </w:p>
        </w:tc>
        <w:tc>
          <w:tcPr>
            <w:tcW w:w="2400"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6%</w:t>
            </w:r>
          </w:p>
        </w:tc>
      </w:tr>
      <w:tr w:rsidR="00A257D9" w:rsidRPr="00A257D9" w:rsidTr="00C070C8">
        <w:trPr>
          <w:trHeight w:val="300"/>
        </w:trPr>
        <w:tc>
          <w:tcPr>
            <w:tcW w:w="283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Theatre entertainment</w:t>
            </w:r>
          </w:p>
        </w:tc>
        <w:tc>
          <w:tcPr>
            <w:tcW w:w="2505"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235</w:t>
            </w:r>
          </w:p>
        </w:tc>
        <w:tc>
          <w:tcPr>
            <w:tcW w:w="2400" w:type="dxa"/>
            <w:tcBorders>
              <w:top w:val="nil"/>
              <w:left w:val="nil"/>
              <w:bottom w:val="nil"/>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6%</w:t>
            </w:r>
          </w:p>
        </w:tc>
      </w:tr>
      <w:tr w:rsidR="00A257D9" w:rsidRPr="00A257D9" w:rsidTr="00C070C8">
        <w:trPr>
          <w:trHeight w:val="300"/>
        </w:trPr>
        <w:tc>
          <w:tcPr>
            <w:tcW w:w="2835" w:type="dxa"/>
            <w:tcBorders>
              <w:top w:val="nil"/>
              <w:left w:val="nil"/>
              <w:bottom w:val="single" w:sz="4" w:space="0" w:color="auto"/>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Literary events</w:t>
            </w:r>
          </w:p>
        </w:tc>
        <w:tc>
          <w:tcPr>
            <w:tcW w:w="2505" w:type="dxa"/>
            <w:tcBorders>
              <w:top w:val="nil"/>
              <w:left w:val="nil"/>
              <w:bottom w:val="single" w:sz="4" w:space="0" w:color="auto"/>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232</w:t>
            </w:r>
          </w:p>
        </w:tc>
        <w:tc>
          <w:tcPr>
            <w:tcW w:w="2400" w:type="dxa"/>
            <w:tcBorders>
              <w:top w:val="nil"/>
              <w:left w:val="nil"/>
              <w:bottom w:val="single" w:sz="4" w:space="0" w:color="auto"/>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6%</w:t>
            </w:r>
          </w:p>
        </w:tc>
      </w:tr>
      <w:tr w:rsidR="00A257D9" w:rsidRPr="00A257D9" w:rsidTr="00C070C8">
        <w:trPr>
          <w:trHeight w:val="300"/>
        </w:trPr>
        <w:tc>
          <w:tcPr>
            <w:tcW w:w="2835" w:type="dxa"/>
            <w:tcBorders>
              <w:top w:val="single" w:sz="4" w:space="0" w:color="auto"/>
              <w:left w:val="nil"/>
              <w:bottom w:val="single" w:sz="4" w:space="0" w:color="auto"/>
              <w:right w:val="nil"/>
            </w:tcBorders>
            <w:shd w:val="clear" w:color="auto" w:fill="auto"/>
            <w:noWrap/>
            <w:vAlign w:val="bottom"/>
            <w:hideMark/>
          </w:tcPr>
          <w:p w:rsidR="00A257D9" w:rsidRPr="00A257D9" w:rsidRDefault="00A257D9" w:rsidP="00A257D9">
            <w:pPr>
              <w:spacing w:line="240" w:lineRule="auto"/>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Other</w:t>
            </w:r>
            <w:r>
              <w:rPr>
                <w:rFonts w:ascii="Calibri" w:eastAsia="Times New Roman" w:hAnsi="Calibri" w:cs="Times New Roman"/>
                <w:color w:val="000000"/>
                <w:lang w:eastAsia="en-GB"/>
              </w:rPr>
              <w:t xml:space="preserve"> (n=15)</w:t>
            </w:r>
          </w:p>
        </w:tc>
        <w:tc>
          <w:tcPr>
            <w:tcW w:w="2505" w:type="dxa"/>
            <w:tcBorders>
              <w:top w:val="single" w:sz="4" w:space="0" w:color="auto"/>
              <w:left w:val="nil"/>
              <w:bottom w:val="single" w:sz="4" w:space="0" w:color="auto"/>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1</w:t>
            </w:r>
            <w:r w:rsidR="00C070C8">
              <w:rPr>
                <w:rFonts w:ascii="Calibri" w:eastAsia="Times New Roman" w:hAnsi="Calibri" w:cs="Times New Roman"/>
                <w:color w:val="000000"/>
                <w:lang w:eastAsia="en-GB"/>
              </w:rPr>
              <w:t>,</w:t>
            </w:r>
            <w:r w:rsidRPr="00A257D9">
              <w:rPr>
                <w:rFonts w:ascii="Calibri" w:eastAsia="Times New Roman" w:hAnsi="Calibri" w:cs="Times New Roman"/>
                <w:color w:val="000000"/>
                <w:lang w:eastAsia="en-GB"/>
              </w:rPr>
              <w:t>485</w:t>
            </w:r>
          </w:p>
        </w:tc>
        <w:tc>
          <w:tcPr>
            <w:tcW w:w="2400" w:type="dxa"/>
            <w:tcBorders>
              <w:top w:val="single" w:sz="4" w:space="0" w:color="auto"/>
              <w:left w:val="nil"/>
              <w:bottom w:val="single" w:sz="4" w:space="0" w:color="auto"/>
              <w:right w:val="nil"/>
            </w:tcBorders>
            <w:shd w:val="clear" w:color="auto" w:fill="auto"/>
            <w:noWrap/>
            <w:vAlign w:val="bottom"/>
            <w:hideMark/>
          </w:tcPr>
          <w:p w:rsidR="00A257D9" w:rsidRPr="00A257D9" w:rsidRDefault="00A257D9" w:rsidP="00A257D9">
            <w:pPr>
              <w:spacing w:line="240" w:lineRule="auto"/>
              <w:jc w:val="right"/>
              <w:rPr>
                <w:rFonts w:ascii="Calibri" w:eastAsia="Times New Roman" w:hAnsi="Calibri" w:cs="Times New Roman"/>
                <w:color w:val="000000"/>
                <w:lang w:eastAsia="en-GB"/>
              </w:rPr>
            </w:pPr>
            <w:r w:rsidRPr="00A257D9">
              <w:rPr>
                <w:rFonts w:ascii="Calibri" w:eastAsia="Times New Roman" w:hAnsi="Calibri" w:cs="Times New Roman"/>
                <w:color w:val="000000"/>
                <w:lang w:eastAsia="en-GB"/>
              </w:rPr>
              <w:t>37%</w:t>
            </w:r>
          </w:p>
        </w:tc>
      </w:tr>
    </w:tbl>
    <w:p w:rsidR="00DA1216" w:rsidRDefault="00A257D9" w:rsidP="00CA6A74">
      <w:pPr>
        <w:spacing w:after="200"/>
        <w:rPr>
          <w:bCs/>
        </w:rPr>
      </w:pPr>
      <w:r>
        <w:rPr>
          <w:bCs/>
        </w:rPr>
        <w:fldChar w:fldCharType="end"/>
      </w:r>
    </w:p>
    <w:p w:rsidR="00BE0CCC" w:rsidRPr="00BE0CCC" w:rsidRDefault="00D424DE" w:rsidP="00BE0CCC">
      <w:pPr>
        <w:rPr>
          <w:rFonts w:eastAsia="Calibri" w:cs="Arial"/>
        </w:rPr>
      </w:pPr>
      <w:r>
        <w:rPr>
          <w:rFonts w:eastAsia="Calibri" w:cs="Arial"/>
        </w:rPr>
        <w:t>Figure 10</w:t>
      </w:r>
      <w:r w:rsidR="002A4452" w:rsidRPr="002A4452">
        <w:rPr>
          <w:rFonts w:eastAsia="Calibri" w:cs="Arial"/>
        </w:rPr>
        <w:t xml:space="preserve"> shows the broad religious affiliation of participants</w:t>
      </w:r>
      <w:r w:rsidR="002A4452">
        <w:rPr>
          <w:rFonts w:eastAsia="Calibri" w:cs="Arial"/>
        </w:rPr>
        <w:t xml:space="preserve"> engaged in participation based activity.  </w:t>
      </w:r>
      <w:r w:rsidR="00BE0CCC" w:rsidRPr="00BE0CCC">
        <w:rPr>
          <w:rFonts w:eastAsia="Calibri" w:cs="Arial"/>
        </w:rPr>
        <w:t>Regularly funded organisations are asked to provide information on the overall religious composition of those taking part in</w:t>
      </w:r>
      <w:r w:rsidR="00BE0CCC">
        <w:rPr>
          <w:rFonts w:eastAsia="Calibri" w:cs="Arial"/>
        </w:rPr>
        <w:t xml:space="preserve"> participation based activities</w:t>
      </w:r>
      <w:r w:rsidR="00BE0CCC" w:rsidRPr="00BE0CCC">
        <w:rPr>
          <w:rFonts w:eastAsia="Calibri" w:cs="Arial"/>
        </w:rPr>
        <w:t xml:space="preserve">.  </w:t>
      </w:r>
      <w:r w:rsidR="00BE0CCC">
        <w:rPr>
          <w:rFonts w:eastAsia="Calibri" w:cs="Arial"/>
        </w:rPr>
        <w:t xml:space="preserve">In most cases, the classification </w:t>
      </w:r>
      <w:r w:rsidR="004A2C80">
        <w:rPr>
          <w:rFonts w:eastAsia="Calibri" w:cs="Arial"/>
        </w:rPr>
        <w:t xml:space="preserve">of participants into the designated categories is determined based on the knowledge of activity facilitators.  The results should therefore </w:t>
      </w:r>
      <w:r w:rsidR="00BE0CCC" w:rsidRPr="00BE0CCC">
        <w:rPr>
          <w:rFonts w:eastAsia="Calibri" w:cs="Arial"/>
        </w:rPr>
        <w:t xml:space="preserve">only be regarded as approximate.  </w:t>
      </w:r>
    </w:p>
    <w:p w:rsidR="002F2A71" w:rsidRDefault="002F2A71" w:rsidP="002F2A71">
      <w:pPr>
        <w:pStyle w:val="Caption"/>
      </w:pPr>
    </w:p>
    <w:p w:rsidR="00BE0CCC" w:rsidRPr="002F2A71" w:rsidRDefault="002F2A71" w:rsidP="002F2A71">
      <w:pPr>
        <w:pStyle w:val="Caption"/>
        <w:rPr>
          <w:rFonts w:eastAsia="Calibri" w:cs="Arial"/>
          <w:b w:val="0"/>
        </w:rPr>
      </w:pPr>
      <w:bookmarkStart w:id="25" w:name="_Toc402964766"/>
      <w:r>
        <w:lastRenderedPageBreak/>
        <w:t xml:space="preserve">Figure </w:t>
      </w:r>
      <w:r w:rsidR="00D3437B">
        <w:fldChar w:fldCharType="begin"/>
      </w:r>
      <w:r w:rsidR="00D3437B">
        <w:instrText xml:space="preserve"> SEQ Figure \* ARABIC </w:instrText>
      </w:r>
      <w:r w:rsidR="00D3437B">
        <w:fldChar w:fldCharType="separate"/>
      </w:r>
      <w:r w:rsidR="00875985">
        <w:rPr>
          <w:noProof/>
        </w:rPr>
        <w:t>10</w:t>
      </w:r>
      <w:r w:rsidR="00D3437B">
        <w:rPr>
          <w:noProof/>
        </w:rPr>
        <w:fldChar w:fldCharType="end"/>
      </w:r>
      <w:r>
        <w:t xml:space="preserve">: </w:t>
      </w:r>
      <w:r w:rsidR="004A2C80" w:rsidRPr="002F2A71">
        <w:rPr>
          <w:rFonts w:eastAsia="Calibri" w:cs="Arial"/>
          <w:b w:val="0"/>
        </w:rPr>
        <w:t>Religious profile of participants, 2013/14 (N=2,120)</w:t>
      </w:r>
      <w:bookmarkEnd w:id="25"/>
    </w:p>
    <w:p w:rsidR="002A4452" w:rsidRDefault="00BE0CCC" w:rsidP="002A4452">
      <w:pPr>
        <w:spacing w:after="200"/>
        <w:rPr>
          <w:bCs/>
        </w:rPr>
      </w:pPr>
      <w:r>
        <w:rPr>
          <w:noProof/>
          <w:lang w:eastAsia="en-GB"/>
        </w:rPr>
        <w:drawing>
          <wp:inline distT="0" distB="0" distL="0" distR="0" wp14:anchorId="3664CF59" wp14:editId="54735B74">
            <wp:extent cx="5569527" cy="2850078"/>
            <wp:effectExtent l="0" t="0" r="12700" b="2667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A4452" w:rsidRDefault="004A2C80" w:rsidP="002A4452">
      <w:pPr>
        <w:spacing w:after="200"/>
        <w:rPr>
          <w:rFonts w:eastAsia="Calibri" w:cs="Arial"/>
        </w:rPr>
      </w:pPr>
      <w:r>
        <w:rPr>
          <w:rFonts w:eastAsia="Calibri" w:cs="Arial"/>
        </w:rPr>
        <w:t>Sixty eight per</w:t>
      </w:r>
      <w:r w:rsidRPr="004A2C80">
        <w:rPr>
          <w:rFonts w:eastAsia="Calibri" w:cs="Arial"/>
        </w:rPr>
        <w:t>cent of activity was described as cross-community, involving a mix of individuals from both the main community bac</w:t>
      </w:r>
      <w:r w:rsidR="002A4452">
        <w:rPr>
          <w:rFonts w:eastAsia="Calibri" w:cs="Arial"/>
        </w:rPr>
        <w:t>kgrounds.  It is likely that a significant proportion of activity involving participants from one background was delivered in single identity communities as part of outreach work.</w:t>
      </w:r>
    </w:p>
    <w:p w:rsidR="00ED197F" w:rsidRDefault="00D424DE" w:rsidP="002A4452">
      <w:pPr>
        <w:spacing w:after="200"/>
        <w:rPr>
          <w:rFonts w:eastAsia="Calibri" w:cs="Arial"/>
        </w:rPr>
      </w:pPr>
      <w:proofErr w:type="gramStart"/>
      <w:r>
        <w:rPr>
          <w:rFonts w:eastAsia="Calibri" w:cs="Arial"/>
        </w:rPr>
        <w:t>Figure  11</w:t>
      </w:r>
      <w:proofErr w:type="gramEnd"/>
      <w:r w:rsidR="00ED197F">
        <w:rPr>
          <w:rFonts w:eastAsia="Calibri" w:cs="Arial"/>
        </w:rPr>
        <w:t xml:space="preserve"> shows the percentage breakdown by age group of participants engaging in activity during 2013/14.  The largest proportion of participants are aged 11 years or younger (26 percent) followed by those aged between 40 and 59 (18 percent).  </w:t>
      </w:r>
    </w:p>
    <w:p w:rsidR="00ED197F" w:rsidRPr="002F2A71" w:rsidRDefault="002F2A71" w:rsidP="002F2A71">
      <w:pPr>
        <w:pStyle w:val="Caption"/>
        <w:rPr>
          <w:b w:val="0"/>
          <w:bCs w:val="0"/>
        </w:rPr>
      </w:pPr>
      <w:bookmarkStart w:id="26" w:name="_Toc402964767"/>
      <w:r>
        <w:t xml:space="preserve">Figure </w:t>
      </w:r>
      <w:r w:rsidR="00D3437B">
        <w:fldChar w:fldCharType="begin"/>
      </w:r>
      <w:r w:rsidR="00D3437B">
        <w:instrText xml:space="preserve"> SEQ Figure \* ARABIC </w:instrText>
      </w:r>
      <w:r w:rsidR="00D3437B">
        <w:fldChar w:fldCharType="separate"/>
      </w:r>
      <w:r w:rsidR="00875985">
        <w:rPr>
          <w:noProof/>
        </w:rPr>
        <w:t>11</w:t>
      </w:r>
      <w:r w:rsidR="00D3437B">
        <w:rPr>
          <w:noProof/>
        </w:rPr>
        <w:fldChar w:fldCharType="end"/>
      </w:r>
      <w:r>
        <w:t xml:space="preserve">: </w:t>
      </w:r>
      <w:r w:rsidR="00ED197F" w:rsidRPr="002F2A71">
        <w:rPr>
          <w:rFonts w:eastAsia="Calibri" w:cs="Arial"/>
          <w:b w:val="0"/>
        </w:rPr>
        <w:t>Percentage breakdown by age group in participation based activity, 2013/14 (N=3417)</w:t>
      </w:r>
      <w:bookmarkEnd w:id="26"/>
    </w:p>
    <w:p w:rsidR="002A4452" w:rsidRDefault="00ED197F" w:rsidP="004A2C80">
      <w:pPr>
        <w:rPr>
          <w:rFonts w:eastAsia="Calibri" w:cs="Arial"/>
        </w:rPr>
      </w:pPr>
      <w:r>
        <w:rPr>
          <w:noProof/>
          <w:lang w:eastAsia="en-GB"/>
        </w:rPr>
        <w:drawing>
          <wp:inline distT="0" distB="0" distL="0" distR="0" wp14:anchorId="68884DFA" wp14:editId="50244BAF">
            <wp:extent cx="5656580" cy="3080298"/>
            <wp:effectExtent l="0" t="0" r="20320" b="2540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A6A74" w:rsidRDefault="00A93752" w:rsidP="005F62BC">
      <w:pPr>
        <w:pStyle w:val="Heading1"/>
      </w:pPr>
      <w:bookmarkStart w:id="27" w:name="_Toc403986355"/>
      <w:r>
        <w:lastRenderedPageBreak/>
        <w:t>Performances</w:t>
      </w:r>
      <w:bookmarkEnd w:id="27"/>
    </w:p>
    <w:p w:rsidR="00094281" w:rsidRDefault="00094281" w:rsidP="00EC5BE4">
      <w:pPr>
        <w:rPr>
          <w:rFonts w:cs="Arial"/>
        </w:rPr>
      </w:pPr>
      <w:r>
        <w:rPr>
          <w:rFonts w:cs="Arial"/>
        </w:rPr>
        <w:t>Regularly funded organisations collect attendance figures and ticket information as part of their funding agreement with the Arts Council.  This information is collected at a production and performance level building a comprehensive portfolio of evidence year on year.  This data, some of which is sourced from electronic box-office systems, is used by funded organisations to build detailed customer profiles enabling them to develop engagement strategies.</w:t>
      </w:r>
    </w:p>
    <w:p w:rsidR="00094281" w:rsidRDefault="00094281" w:rsidP="00EC5BE4">
      <w:pPr>
        <w:rPr>
          <w:rFonts w:cs="Arial"/>
        </w:rPr>
      </w:pPr>
    </w:p>
    <w:p w:rsidR="00094281" w:rsidRDefault="00E73EBE" w:rsidP="00EC5BE4">
      <w:pPr>
        <w:rPr>
          <w:rFonts w:cs="Arial"/>
        </w:rPr>
      </w:pPr>
      <w:r>
        <w:rPr>
          <w:rFonts w:cs="Arial"/>
        </w:rPr>
        <w:t>In 2013/14, 60 organisations (55</w:t>
      </w:r>
      <w:r w:rsidR="00094281">
        <w:rPr>
          <w:rFonts w:cs="Arial"/>
        </w:rPr>
        <w:t xml:space="preserve"> percent of </w:t>
      </w:r>
      <w:r w:rsidR="00BF44AA">
        <w:rPr>
          <w:rFonts w:cs="Arial"/>
        </w:rPr>
        <w:t>sample</w:t>
      </w:r>
      <w:r>
        <w:rPr>
          <w:rFonts w:cs="Arial"/>
        </w:rPr>
        <w:t>) delivered 24,516</w:t>
      </w:r>
      <w:r w:rsidR="00094281">
        <w:rPr>
          <w:rFonts w:cs="Arial"/>
        </w:rPr>
        <w:t xml:space="preserve"> performances.  Total audiences of </w:t>
      </w:r>
      <w:r>
        <w:rPr>
          <w:rFonts w:cs="Arial"/>
        </w:rPr>
        <w:t>1.82</w:t>
      </w:r>
      <w:r w:rsidR="002C3D26">
        <w:rPr>
          <w:rFonts w:cs="Arial"/>
        </w:rPr>
        <w:t>m were</w:t>
      </w:r>
      <w:r w:rsidR="00094281">
        <w:rPr>
          <w:rFonts w:cs="Arial"/>
        </w:rPr>
        <w:t xml:space="preserve"> reported</w:t>
      </w:r>
      <w:r w:rsidR="002C3D26">
        <w:rPr>
          <w:rFonts w:cs="Arial"/>
        </w:rPr>
        <w:t xml:space="preserve">.  Based on a constant sample of 44 organisations total audiences of 1.45m were achieved, an increase (compared to 2012/13) of 24 percent.  </w:t>
      </w:r>
    </w:p>
    <w:p w:rsidR="00EC5BE4" w:rsidRDefault="00EC5BE4" w:rsidP="005B0A08">
      <w:pPr>
        <w:spacing w:after="200"/>
      </w:pPr>
    </w:p>
    <w:p w:rsidR="00E05782" w:rsidRDefault="002F2A71" w:rsidP="002F2A71">
      <w:pPr>
        <w:pStyle w:val="Caption"/>
        <w:rPr>
          <w:rFonts w:asciiTheme="minorHAnsi" w:hAnsiTheme="minorHAnsi"/>
        </w:rPr>
      </w:pPr>
      <w:bookmarkStart w:id="28" w:name="_Toc402964768"/>
      <w:r>
        <w:t xml:space="preserve">Figure </w:t>
      </w:r>
      <w:r w:rsidR="00D3437B">
        <w:fldChar w:fldCharType="begin"/>
      </w:r>
      <w:r w:rsidR="00D3437B">
        <w:instrText xml:space="preserve"> SEQ Figure \* ARABIC </w:instrText>
      </w:r>
      <w:r w:rsidR="00D3437B">
        <w:fldChar w:fldCharType="separate"/>
      </w:r>
      <w:r w:rsidR="00875985">
        <w:rPr>
          <w:noProof/>
        </w:rPr>
        <w:t>12</w:t>
      </w:r>
      <w:r w:rsidR="00D3437B">
        <w:rPr>
          <w:noProof/>
        </w:rPr>
        <w:fldChar w:fldCharType="end"/>
      </w:r>
      <w:r>
        <w:t xml:space="preserve">: </w:t>
      </w:r>
      <w:r w:rsidR="000F2529">
        <w:rPr>
          <w:rFonts w:eastAsia="Calibri" w:cs="Arial"/>
          <w:b w:val="0"/>
        </w:rPr>
        <w:t>C</w:t>
      </w:r>
      <w:r w:rsidR="00EC5BE4" w:rsidRPr="002F2A71">
        <w:rPr>
          <w:rFonts w:eastAsia="Calibri" w:cs="Arial"/>
          <w:b w:val="0"/>
        </w:rPr>
        <w:t>omparison of audiences, 2012/13 and 2013/14</w:t>
      </w:r>
      <w:bookmarkEnd w:id="28"/>
      <w:r w:rsidR="00EC5BE4">
        <w:t xml:space="preserve">  </w:t>
      </w:r>
      <w:r w:rsidR="00E05782">
        <w:fldChar w:fldCharType="begin"/>
      </w:r>
      <w:r w:rsidR="00E05782">
        <w:instrText xml:space="preserve"> LINK Excel.Sheet.12 "\\\\fs0.acninet.local\\strategic_share\\Policy &amp; Research Team\\Survey Data Sets\\RFO\\RFO 1314\\1314 Finance\\1314 charts v2.xlsx" "Performance charts!R14C2:R17C6" \a \f 4 \h  \* MERGEFORMAT </w:instrText>
      </w:r>
      <w:r w:rsidR="00E05782">
        <w:fldChar w:fldCharType="separate"/>
      </w:r>
    </w:p>
    <w:tbl>
      <w:tblPr>
        <w:tblStyle w:val="RFOTableFormat"/>
        <w:tblW w:w="8964" w:type="dxa"/>
        <w:tblInd w:w="108" w:type="dxa"/>
        <w:tblLayout w:type="fixed"/>
        <w:tblLook w:val="04A0" w:firstRow="1" w:lastRow="0" w:firstColumn="1" w:lastColumn="0" w:noHBand="0" w:noVBand="1"/>
      </w:tblPr>
      <w:tblGrid>
        <w:gridCol w:w="1735"/>
        <w:gridCol w:w="1559"/>
        <w:gridCol w:w="1843"/>
        <w:gridCol w:w="1843"/>
        <w:gridCol w:w="1984"/>
      </w:tblGrid>
      <w:tr w:rsidR="00E05782" w:rsidRPr="00E05782" w:rsidTr="007E1772">
        <w:trPr>
          <w:cnfStyle w:val="100000000000" w:firstRow="1" w:lastRow="0" w:firstColumn="0" w:lastColumn="0" w:oddVBand="0" w:evenVBand="0" w:oddHBand="0" w:evenHBand="0" w:firstRowFirstColumn="0" w:firstRowLastColumn="0" w:lastRowFirstColumn="0" w:lastRowLastColumn="0"/>
          <w:trHeight w:val="300"/>
        </w:trPr>
        <w:tc>
          <w:tcPr>
            <w:tcW w:w="1735" w:type="dxa"/>
            <w:tcBorders>
              <w:bottom w:val="none" w:sz="0" w:space="0" w:color="auto"/>
              <w:right w:val="single" w:sz="4" w:space="0" w:color="auto"/>
            </w:tcBorders>
            <w:noWrap/>
            <w:hideMark/>
          </w:tcPr>
          <w:p w:rsidR="00E05782" w:rsidRPr="00E05782" w:rsidRDefault="00E05782" w:rsidP="00E05782">
            <w:pPr>
              <w:rPr>
                <w:rFonts w:ascii="Calibri" w:eastAsia="Times New Roman" w:hAnsi="Calibri" w:cs="Times New Roman"/>
                <w:color w:val="000000"/>
                <w:lang w:eastAsia="en-GB"/>
              </w:rPr>
            </w:pPr>
          </w:p>
        </w:tc>
        <w:tc>
          <w:tcPr>
            <w:tcW w:w="3402" w:type="dxa"/>
            <w:gridSpan w:val="2"/>
            <w:tcBorders>
              <w:left w:val="single" w:sz="4" w:space="0" w:color="auto"/>
              <w:bottom w:val="none" w:sz="0" w:space="0" w:color="auto"/>
              <w:right w:val="single" w:sz="4" w:space="0" w:color="auto"/>
            </w:tcBorders>
            <w:noWrap/>
            <w:hideMark/>
          </w:tcPr>
          <w:p w:rsidR="00E05782" w:rsidRPr="00E05782" w:rsidRDefault="00E05782" w:rsidP="00E0578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Full sample</w:t>
            </w:r>
          </w:p>
        </w:tc>
        <w:tc>
          <w:tcPr>
            <w:tcW w:w="3827" w:type="dxa"/>
            <w:gridSpan w:val="2"/>
            <w:tcBorders>
              <w:left w:val="single" w:sz="4" w:space="0" w:color="auto"/>
              <w:bottom w:val="none" w:sz="0" w:space="0" w:color="auto"/>
            </w:tcBorders>
            <w:noWrap/>
            <w:hideMark/>
          </w:tcPr>
          <w:p w:rsidR="00E05782" w:rsidRPr="00E05782" w:rsidRDefault="00E05782" w:rsidP="00E0578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Constant sample (n=44)</w:t>
            </w:r>
          </w:p>
        </w:tc>
      </w:tr>
      <w:tr w:rsidR="00E05782" w:rsidRPr="00E05782" w:rsidTr="007E1772">
        <w:trPr>
          <w:trHeight w:val="600"/>
        </w:trPr>
        <w:tc>
          <w:tcPr>
            <w:tcW w:w="1735" w:type="dxa"/>
            <w:tcBorders>
              <w:bottom w:val="single" w:sz="4" w:space="0" w:color="auto"/>
              <w:right w:val="single" w:sz="4" w:space="0" w:color="auto"/>
            </w:tcBorders>
            <w:noWrap/>
            <w:hideMark/>
          </w:tcPr>
          <w:p w:rsidR="00E05782" w:rsidRPr="00E05782" w:rsidRDefault="00E05782" w:rsidP="00E05782">
            <w:pPr>
              <w:rPr>
                <w:rFonts w:ascii="Calibri" w:eastAsia="Times New Roman" w:hAnsi="Calibri" w:cs="Times New Roman"/>
                <w:color w:val="000000"/>
                <w:lang w:eastAsia="en-GB"/>
              </w:rPr>
            </w:pPr>
          </w:p>
        </w:tc>
        <w:tc>
          <w:tcPr>
            <w:tcW w:w="1559" w:type="dxa"/>
            <w:tcBorders>
              <w:left w:val="single" w:sz="4" w:space="0" w:color="auto"/>
              <w:bottom w:val="single" w:sz="4" w:space="0" w:color="auto"/>
            </w:tcBorders>
            <w:hideMark/>
          </w:tcPr>
          <w:p w:rsidR="00E05782" w:rsidRPr="00E05782" w:rsidRDefault="00094281" w:rsidP="00E05782">
            <w:pPr>
              <w:rPr>
                <w:rFonts w:ascii="Calibri" w:eastAsia="Times New Roman" w:hAnsi="Calibri" w:cs="Times New Roman"/>
                <w:color w:val="000000"/>
                <w:lang w:eastAsia="en-GB"/>
              </w:rPr>
            </w:pPr>
            <w:r>
              <w:rPr>
                <w:rFonts w:ascii="Calibri" w:eastAsia="Times New Roman" w:hAnsi="Calibri" w:cs="Times New Roman"/>
                <w:color w:val="000000"/>
                <w:lang w:eastAsia="en-GB"/>
              </w:rPr>
              <w:t>Number of performances</w:t>
            </w:r>
          </w:p>
        </w:tc>
        <w:tc>
          <w:tcPr>
            <w:tcW w:w="1843" w:type="dxa"/>
            <w:tcBorders>
              <w:bottom w:val="single" w:sz="4" w:space="0" w:color="auto"/>
              <w:right w:val="single" w:sz="4" w:space="0" w:color="auto"/>
            </w:tcBorders>
            <w:hideMark/>
          </w:tcPr>
          <w:p w:rsidR="00E05782" w:rsidRPr="00E05782" w:rsidRDefault="00E05782" w:rsidP="00E0578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Total audiences</w:t>
            </w:r>
          </w:p>
        </w:tc>
        <w:tc>
          <w:tcPr>
            <w:tcW w:w="1843" w:type="dxa"/>
            <w:tcBorders>
              <w:left w:val="single" w:sz="4" w:space="0" w:color="auto"/>
              <w:bottom w:val="single" w:sz="4" w:space="0" w:color="auto"/>
            </w:tcBorders>
            <w:hideMark/>
          </w:tcPr>
          <w:p w:rsidR="00E05782" w:rsidRPr="00E05782" w:rsidRDefault="00A93752" w:rsidP="00E05782">
            <w:pPr>
              <w:rPr>
                <w:rFonts w:ascii="Calibri" w:eastAsia="Times New Roman" w:hAnsi="Calibri" w:cs="Times New Roman"/>
                <w:color w:val="000000"/>
                <w:lang w:eastAsia="en-GB"/>
              </w:rPr>
            </w:pPr>
            <w:r>
              <w:rPr>
                <w:rFonts w:ascii="Calibri" w:eastAsia="Times New Roman" w:hAnsi="Calibri" w:cs="Times New Roman"/>
                <w:color w:val="000000"/>
                <w:lang w:eastAsia="en-GB"/>
              </w:rPr>
              <w:t>Number of performances</w:t>
            </w:r>
          </w:p>
        </w:tc>
        <w:tc>
          <w:tcPr>
            <w:tcW w:w="1984" w:type="dxa"/>
            <w:tcBorders>
              <w:bottom w:val="single" w:sz="4" w:space="0" w:color="auto"/>
            </w:tcBorders>
            <w:hideMark/>
          </w:tcPr>
          <w:p w:rsidR="00E05782" w:rsidRPr="00E05782" w:rsidRDefault="00E05782" w:rsidP="00E0578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Total audiences</w:t>
            </w:r>
          </w:p>
        </w:tc>
      </w:tr>
      <w:tr w:rsidR="00E05782" w:rsidRPr="00E05782" w:rsidTr="007E1772">
        <w:trPr>
          <w:trHeight w:val="300"/>
        </w:trPr>
        <w:tc>
          <w:tcPr>
            <w:tcW w:w="1735" w:type="dxa"/>
            <w:tcBorders>
              <w:top w:val="single" w:sz="4" w:space="0" w:color="auto"/>
              <w:right w:val="single" w:sz="4" w:space="0" w:color="auto"/>
            </w:tcBorders>
            <w:noWrap/>
            <w:hideMark/>
          </w:tcPr>
          <w:p w:rsidR="00E05782" w:rsidRPr="00E05782" w:rsidRDefault="00E05782" w:rsidP="00E0578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2012/13</w:t>
            </w:r>
          </w:p>
        </w:tc>
        <w:tc>
          <w:tcPr>
            <w:tcW w:w="1559" w:type="dxa"/>
            <w:tcBorders>
              <w:top w:val="single" w:sz="4" w:space="0" w:color="auto"/>
              <w:left w:val="single" w:sz="4" w:space="0" w:color="auto"/>
            </w:tcBorders>
            <w:noWrap/>
            <w:hideMark/>
          </w:tcPr>
          <w:p w:rsidR="00E05782" w:rsidRPr="00D200D5" w:rsidRDefault="00F522C0" w:rsidP="00E05782">
            <w:pPr>
              <w:rPr>
                <w:rFonts w:ascii="Calibri" w:eastAsia="Times New Roman" w:hAnsi="Calibri" w:cs="Times New Roman"/>
                <w:color w:val="000000"/>
                <w:lang w:eastAsia="en-GB"/>
              </w:rPr>
            </w:pPr>
            <w:r w:rsidRPr="00D200D5">
              <w:rPr>
                <w:rFonts w:ascii="Calibri" w:eastAsia="Times New Roman" w:hAnsi="Calibri" w:cs="Times New Roman"/>
                <w:color w:val="000000"/>
                <w:lang w:eastAsia="en-GB"/>
              </w:rPr>
              <w:t>18</w:t>
            </w:r>
            <w:r w:rsidR="00E05782" w:rsidRPr="00D200D5">
              <w:rPr>
                <w:rFonts w:ascii="Calibri" w:eastAsia="Times New Roman" w:hAnsi="Calibri" w:cs="Times New Roman"/>
                <w:color w:val="000000"/>
                <w:lang w:eastAsia="en-GB"/>
              </w:rPr>
              <w:t>,240</w:t>
            </w:r>
          </w:p>
        </w:tc>
        <w:tc>
          <w:tcPr>
            <w:tcW w:w="1843" w:type="dxa"/>
            <w:tcBorders>
              <w:top w:val="single" w:sz="4" w:space="0" w:color="auto"/>
              <w:right w:val="single" w:sz="4" w:space="0" w:color="auto"/>
            </w:tcBorders>
            <w:noWrap/>
            <w:hideMark/>
          </w:tcPr>
          <w:p w:rsidR="00E05782" w:rsidRPr="00D200D5" w:rsidRDefault="00E05782" w:rsidP="00E05782">
            <w:pPr>
              <w:rPr>
                <w:rFonts w:ascii="Calibri" w:eastAsia="Times New Roman" w:hAnsi="Calibri" w:cs="Times New Roman"/>
                <w:color w:val="000000"/>
                <w:lang w:eastAsia="en-GB"/>
              </w:rPr>
            </w:pPr>
            <w:r w:rsidRPr="00D200D5">
              <w:rPr>
                <w:rFonts w:ascii="Calibri" w:eastAsia="Times New Roman" w:hAnsi="Calibri" w:cs="Times New Roman"/>
                <w:color w:val="000000"/>
                <w:lang w:eastAsia="en-GB"/>
              </w:rPr>
              <w:t>1,278,947</w:t>
            </w:r>
          </w:p>
        </w:tc>
        <w:tc>
          <w:tcPr>
            <w:tcW w:w="1843" w:type="dxa"/>
            <w:tcBorders>
              <w:top w:val="single" w:sz="4" w:space="0" w:color="auto"/>
              <w:left w:val="single" w:sz="4" w:space="0" w:color="auto"/>
            </w:tcBorders>
            <w:noWrap/>
            <w:hideMark/>
          </w:tcPr>
          <w:p w:rsidR="00E05782" w:rsidRPr="00D200D5" w:rsidRDefault="00F522C0" w:rsidP="00E05782">
            <w:pPr>
              <w:rPr>
                <w:rFonts w:ascii="Calibri" w:eastAsia="Times New Roman" w:hAnsi="Calibri" w:cs="Times New Roman"/>
                <w:color w:val="000000"/>
                <w:lang w:eastAsia="en-GB"/>
              </w:rPr>
            </w:pPr>
            <w:r w:rsidRPr="00D200D5">
              <w:rPr>
                <w:rFonts w:ascii="Calibri" w:eastAsia="Times New Roman" w:hAnsi="Calibri" w:cs="Times New Roman"/>
                <w:color w:val="000000"/>
                <w:lang w:eastAsia="en-GB"/>
              </w:rPr>
              <w:t>14</w:t>
            </w:r>
            <w:r w:rsidR="00E05782" w:rsidRPr="00D200D5">
              <w:rPr>
                <w:rFonts w:ascii="Calibri" w:eastAsia="Times New Roman" w:hAnsi="Calibri" w:cs="Times New Roman"/>
                <w:color w:val="000000"/>
                <w:lang w:eastAsia="en-GB"/>
              </w:rPr>
              <w:t>,863</w:t>
            </w:r>
          </w:p>
        </w:tc>
        <w:tc>
          <w:tcPr>
            <w:tcW w:w="1984" w:type="dxa"/>
            <w:tcBorders>
              <w:top w:val="single" w:sz="4" w:space="0" w:color="auto"/>
            </w:tcBorders>
            <w:noWrap/>
            <w:hideMark/>
          </w:tcPr>
          <w:p w:rsidR="00E05782" w:rsidRPr="00E05782" w:rsidRDefault="00E05782" w:rsidP="004F09BE">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1,176,929</w:t>
            </w:r>
          </w:p>
        </w:tc>
      </w:tr>
      <w:tr w:rsidR="00E05782" w:rsidRPr="00E05782" w:rsidTr="007E1772">
        <w:trPr>
          <w:trHeight w:val="300"/>
        </w:trPr>
        <w:tc>
          <w:tcPr>
            <w:tcW w:w="1735" w:type="dxa"/>
            <w:tcBorders>
              <w:bottom w:val="single" w:sz="4" w:space="0" w:color="auto"/>
              <w:right w:val="single" w:sz="4" w:space="0" w:color="auto"/>
            </w:tcBorders>
            <w:noWrap/>
            <w:hideMark/>
          </w:tcPr>
          <w:p w:rsidR="00E05782" w:rsidRPr="00E05782" w:rsidRDefault="00E05782" w:rsidP="00E0578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2013/14</w:t>
            </w:r>
          </w:p>
        </w:tc>
        <w:tc>
          <w:tcPr>
            <w:tcW w:w="1559" w:type="dxa"/>
            <w:tcBorders>
              <w:left w:val="single" w:sz="4" w:space="0" w:color="auto"/>
              <w:bottom w:val="single" w:sz="4" w:space="0" w:color="auto"/>
            </w:tcBorders>
            <w:noWrap/>
            <w:hideMark/>
          </w:tcPr>
          <w:p w:rsidR="00E05782" w:rsidRPr="00F41FC4" w:rsidRDefault="00E73EBE" w:rsidP="00E05782">
            <w:pPr>
              <w:rPr>
                <w:rFonts w:ascii="Calibri" w:eastAsia="Times New Roman" w:hAnsi="Calibri" w:cs="Times New Roman"/>
                <w:lang w:eastAsia="en-GB"/>
              </w:rPr>
            </w:pPr>
            <w:r w:rsidRPr="00F41FC4">
              <w:rPr>
                <w:rFonts w:ascii="Calibri" w:eastAsia="Times New Roman" w:hAnsi="Calibri" w:cs="Times New Roman"/>
                <w:lang w:eastAsia="en-GB"/>
              </w:rPr>
              <w:t>24,516</w:t>
            </w:r>
          </w:p>
        </w:tc>
        <w:tc>
          <w:tcPr>
            <w:tcW w:w="1843" w:type="dxa"/>
            <w:tcBorders>
              <w:bottom w:val="single" w:sz="4" w:space="0" w:color="auto"/>
              <w:right w:val="single" w:sz="4" w:space="0" w:color="auto"/>
            </w:tcBorders>
            <w:noWrap/>
            <w:hideMark/>
          </w:tcPr>
          <w:p w:rsidR="00E05782" w:rsidRPr="00F41FC4" w:rsidRDefault="00E73EBE" w:rsidP="00E05782">
            <w:pPr>
              <w:rPr>
                <w:rFonts w:ascii="Calibri" w:eastAsia="Times New Roman" w:hAnsi="Calibri" w:cs="Times New Roman"/>
                <w:lang w:eastAsia="en-GB"/>
              </w:rPr>
            </w:pPr>
            <w:r w:rsidRPr="00F41FC4">
              <w:rPr>
                <w:rFonts w:ascii="Calibri" w:eastAsia="Times New Roman" w:hAnsi="Calibri" w:cs="Times New Roman"/>
                <w:lang w:eastAsia="en-GB"/>
              </w:rPr>
              <w:t>1,824,826</w:t>
            </w:r>
          </w:p>
        </w:tc>
        <w:tc>
          <w:tcPr>
            <w:tcW w:w="1843" w:type="dxa"/>
            <w:tcBorders>
              <w:left w:val="single" w:sz="4" w:space="0" w:color="auto"/>
              <w:bottom w:val="single" w:sz="4" w:space="0" w:color="auto"/>
            </w:tcBorders>
            <w:noWrap/>
            <w:hideMark/>
          </w:tcPr>
          <w:p w:rsidR="00E05782" w:rsidRPr="00E05782" w:rsidRDefault="00E05782" w:rsidP="00E0578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19,327</w:t>
            </w:r>
          </w:p>
        </w:tc>
        <w:tc>
          <w:tcPr>
            <w:tcW w:w="1984" w:type="dxa"/>
            <w:tcBorders>
              <w:bottom w:val="single" w:sz="4" w:space="0" w:color="auto"/>
            </w:tcBorders>
            <w:noWrap/>
            <w:hideMark/>
          </w:tcPr>
          <w:p w:rsidR="00E05782" w:rsidRPr="00E05782" w:rsidRDefault="00E05782" w:rsidP="004F09BE">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1,454,471</w:t>
            </w:r>
          </w:p>
        </w:tc>
      </w:tr>
    </w:tbl>
    <w:p w:rsidR="00094281" w:rsidRPr="00094281" w:rsidRDefault="00E05782" w:rsidP="00094281">
      <w:pPr>
        <w:rPr>
          <w:rFonts w:cs="Arial"/>
          <w:sz w:val="18"/>
          <w:szCs w:val="18"/>
        </w:rPr>
      </w:pPr>
      <w:r>
        <w:rPr>
          <w:bCs/>
        </w:rPr>
        <w:fldChar w:fldCharType="end"/>
      </w:r>
      <w:r w:rsidR="00094281" w:rsidRPr="00094281">
        <w:rPr>
          <w:rFonts w:cs="Arial"/>
          <w:sz w:val="18"/>
          <w:szCs w:val="18"/>
        </w:rPr>
        <w:t>Note:</w:t>
      </w:r>
    </w:p>
    <w:p w:rsidR="00094281" w:rsidRDefault="00094281" w:rsidP="00094281">
      <w:pPr>
        <w:rPr>
          <w:bCs/>
        </w:rPr>
      </w:pPr>
      <w:r w:rsidRPr="00094281">
        <w:rPr>
          <w:rFonts w:cs="Arial"/>
          <w:sz w:val="18"/>
          <w:szCs w:val="18"/>
        </w:rPr>
        <w:t>Audience figures includes known and estimated attendance</w:t>
      </w:r>
      <w:r>
        <w:rPr>
          <w:bCs/>
        </w:rPr>
        <w:tab/>
      </w:r>
    </w:p>
    <w:p w:rsidR="00094281" w:rsidRDefault="00094281" w:rsidP="00094281">
      <w:pPr>
        <w:rPr>
          <w:bCs/>
        </w:rPr>
      </w:pPr>
    </w:p>
    <w:p w:rsidR="00DA0A1B" w:rsidRPr="00DA0A1B" w:rsidRDefault="00DA0A1B" w:rsidP="00DA0A1B">
      <w:pPr>
        <w:rPr>
          <w:bCs/>
        </w:rPr>
      </w:pPr>
      <w:r w:rsidRPr="00DA0A1B">
        <w:rPr>
          <w:bCs/>
        </w:rPr>
        <w:t>Table</w:t>
      </w:r>
      <w:r w:rsidR="00D424DE">
        <w:rPr>
          <w:bCs/>
        </w:rPr>
        <w:t xml:space="preserve"> 8</w:t>
      </w:r>
      <w:r w:rsidRPr="00DA0A1B">
        <w:rPr>
          <w:bCs/>
        </w:rPr>
        <w:t xml:space="preserve"> shows the breakdown of audiences by artform</w:t>
      </w:r>
      <w:r w:rsidR="00F41FC4">
        <w:rPr>
          <w:bCs/>
        </w:rPr>
        <w:t>.  Combined Arts and Drama shared over three-quarters of the audience in 2013/14.</w:t>
      </w:r>
    </w:p>
    <w:p w:rsidR="00DA0A1B" w:rsidRPr="00DA0A1B" w:rsidRDefault="00DA0A1B" w:rsidP="00DA0A1B">
      <w:pPr>
        <w:rPr>
          <w:bCs/>
        </w:rPr>
      </w:pPr>
    </w:p>
    <w:p w:rsidR="00EA7B43" w:rsidRDefault="00D424DE" w:rsidP="00D424DE">
      <w:pPr>
        <w:pStyle w:val="Caption"/>
        <w:rPr>
          <w:rFonts w:asciiTheme="minorHAnsi" w:hAnsiTheme="minorHAnsi"/>
        </w:rPr>
      </w:pPr>
      <w:r>
        <w:t xml:space="preserve">Table </w:t>
      </w:r>
      <w:r w:rsidR="00D3437B">
        <w:fldChar w:fldCharType="begin"/>
      </w:r>
      <w:r w:rsidR="00D3437B">
        <w:instrText xml:space="preserve"> SEQ Table \* ARABIC </w:instrText>
      </w:r>
      <w:r w:rsidR="00D3437B">
        <w:fldChar w:fldCharType="separate"/>
      </w:r>
      <w:r w:rsidR="00875985">
        <w:rPr>
          <w:noProof/>
        </w:rPr>
        <w:t>8</w:t>
      </w:r>
      <w:r w:rsidR="00D3437B">
        <w:rPr>
          <w:noProof/>
        </w:rPr>
        <w:fldChar w:fldCharType="end"/>
      </w:r>
      <w:r w:rsidR="000F2529">
        <w:t xml:space="preserve">: </w:t>
      </w:r>
      <w:r w:rsidR="00EA7B43" w:rsidRPr="000F2529">
        <w:rPr>
          <w:b w:val="0"/>
        </w:rPr>
        <w:t>Total audienc</w:t>
      </w:r>
      <w:r w:rsidR="00E73EBE">
        <w:rPr>
          <w:b w:val="0"/>
        </w:rPr>
        <w:t>es by artform, 2013/14 (N=24,516</w:t>
      </w:r>
      <w:r w:rsidR="00EA7B43" w:rsidRPr="000F2529">
        <w:rPr>
          <w:b w:val="0"/>
        </w:rPr>
        <w:t>)</w:t>
      </w:r>
      <w:r w:rsidR="00EA7B43">
        <w:fldChar w:fldCharType="begin"/>
      </w:r>
      <w:r w:rsidR="00EA7B43">
        <w:instrText xml:space="preserve"> LINK Excel.Sheet.12 "\\\\fs0.acninet.local\\strategic_share\\Policy &amp; Research Team\\Survey Data Sets\\RFO\\RFO 1314\\1314 Finance\\1314 charts v2.xlsx" "Performance charts!R20C3:R27C6" \a \f 4 \h  \* MERGEFORMAT </w:instrText>
      </w:r>
      <w:r w:rsidR="00EA7B43">
        <w:fldChar w:fldCharType="separate"/>
      </w:r>
    </w:p>
    <w:tbl>
      <w:tblPr>
        <w:tblStyle w:val="RFOTableFormat"/>
        <w:tblW w:w="4495" w:type="dxa"/>
        <w:tblInd w:w="108" w:type="dxa"/>
        <w:tblLook w:val="04A0" w:firstRow="1" w:lastRow="0" w:firstColumn="1" w:lastColumn="0" w:noHBand="0" w:noVBand="1"/>
      </w:tblPr>
      <w:tblGrid>
        <w:gridCol w:w="1852"/>
        <w:gridCol w:w="2643"/>
      </w:tblGrid>
      <w:tr w:rsidR="00EA7B43" w:rsidRPr="00EA7B43" w:rsidTr="004F09BE">
        <w:trPr>
          <w:cnfStyle w:val="100000000000" w:firstRow="1" w:lastRow="0" w:firstColumn="0" w:lastColumn="0" w:oddVBand="0" w:evenVBand="0" w:oddHBand="0" w:evenHBand="0" w:firstRowFirstColumn="0" w:firstRowLastColumn="0" w:lastRowFirstColumn="0" w:lastRowLastColumn="0"/>
          <w:trHeight w:val="300"/>
        </w:trPr>
        <w:tc>
          <w:tcPr>
            <w:tcW w:w="1852" w:type="dxa"/>
            <w:tcBorders>
              <w:right w:val="single" w:sz="4" w:space="0" w:color="auto"/>
            </w:tcBorders>
            <w:noWrap/>
            <w:hideMark/>
          </w:tcPr>
          <w:p w:rsidR="00EA7B43" w:rsidRPr="00EA7B43" w:rsidRDefault="004F09BE">
            <w:pPr>
              <w:rPr>
                <w:rFonts w:ascii="Calibri" w:eastAsia="Times New Roman" w:hAnsi="Calibri" w:cs="Times New Roman"/>
                <w:color w:val="000000"/>
                <w:lang w:eastAsia="en-GB"/>
              </w:rPr>
            </w:pPr>
            <w:r>
              <w:rPr>
                <w:rFonts w:ascii="Calibri" w:eastAsia="Times New Roman" w:hAnsi="Calibri" w:cs="Times New Roman"/>
                <w:color w:val="000000"/>
                <w:lang w:eastAsia="en-GB"/>
              </w:rPr>
              <w:t>Artform</w:t>
            </w:r>
          </w:p>
        </w:tc>
        <w:tc>
          <w:tcPr>
            <w:tcW w:w="2643" w:type="dxa"/>
            <w:tcBorders>
              <w:left w:val="single" w:sz="4" w:space="0" w:color="auto"/>
            </w:tcBorders>
            <w:noWrap/>
            <w:hideMark/>
          </w:tcPr>
          <w:p w:rsidR="00EA7B43" w:rsidRPr="00EA7B43" w:rsidRDefault="004F09BE" w:rsidP="004F09BE">
            <w:pPr>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Total Audiences</w:t>
            </w:r>
            <w:r w:rsidR="00E73EBE">
              <w:rPr>
                <w:rFonts w:ascii="Calibri" w:eastAsia="Times New Roman" w:hAnsi="Calibri" w:cs="Times New Roman"/>
                <w:color w:val="000000"/>
                <w:lang w:eastAsia="en-GB"/>
              </w:rPr>
              <w:t xml:space="preserve"> as percentage of total</w:t>
            </w:r>
          </w:p>
        </w:tc>
      </w:tr>
      <w:tr w:rsidR="00E73EBE" w:rsidRPr="00EA7B43" w:rsidTr="00E73EBE">
        <w:trPr>
          <w:trHeight w:val="300"/>
        </w:trPr>
        <w:tc>
          <w:tcPr>
            <w:tcW w:w="1852" w:type="dxa"/>
            <w:tcBorders>
              <w:right w:val="single" w:sz="4" w:space="0" w:color="auto"/>
            </w:tcBorders>
            <w:noWrap/>
            <w:hideMark/>
          </w:tcPr>
          <w:p w:rsidR="00E73EBE" w:rsidRPr="00EA7B43" w:rsidRDefault="00E73EBE" w:rsidP="00DA0A1B">
            <w:pPr>
              <w:rPr>
                <w:rFonts w:ascii="Calibri" w:eastAsia="Times New Roman" w:hAnsi="Calibri" w:cs="Times New Roman"/>
                <w:color w:val="000000"/>
                <w:lang w:eastAsia="en-GB"/>
              </w:rPr>
            </w:pPr>
            <w:r w:rsidRPr="00EA7B43">
              <w:rPr>
                <w:rFonts w:ascii="Calibri" w:eastAsia="Times New Roman" w:hAnsi="Calibri" w:cs="Times New Roman"/>
                <w:color w:val="000000"/>
                <w:lang w:eastAsia="en-GB"/>
              </w:rPr>
              <w:t>Combined Arts</w:t>
            </w:r>
          </w:p>
        </w:tc>
        <w:tc>
          <w:tcPr>
            <w:tcW w:w="2643" w:type="dxa"/>
            <w:tcBorders>
              <w:left w:val="single" w:sz="4" w:space="0" w:color="auto"/>
            </w:tcBorders>
            <w:noWrap/>
            <w:vAlign w:val="bottom"/>
            <w:hideMark/>
          </w:tcPr>
          <w:p w:rsidR="00E73EBE" w:rsidRDefault="00F658B0" w:rsidP="00E73EBE">
            <w:pPr>
              <w:jc w:val="center"/>
              <w:rPr>
                <w:rFonts w:ascii="Calibri" w:hAnsi="Calibri"/>
                <w:color w:val="000000"/>
                <w:sz w:val="22"/>
              </w:rPr>
            </w:pPr>
            <w:r>
              <w:rPr>
                <w:rFonts w:ascii="Calibri" w:hAnsi="Calibri"/>
                <w:color w:val="000000"/>
                <w:sz w:val="22"/>
              </w:rPr>
              <w:t>47</w:t>
            </w:r>
          </w:p>
        </w:tc>
      </w:tr>
      <w:tr w:rsidR="00E73EBE" w:rsidRPr="00EA7B43" w:rsidTr="00E73EBE">
        <w:trPr>
          <w:trHeight w:val="300"/>
        </w:trPr>
        <w:tc>
          <w:tcPr>
            <w:tcW w:w="1852" w:type="dxa"/>
            <w:tcBorders>
              <w:right w:val="single" w:sz="4" w:space="0" w:color="auto"/>
            </w:tcBorders>
            <w:noWrap/>
            <w:hideMark/>
          </w:tcPr>
          <w:p w:rsidR="00E73EBE" w:rsidRPr="00EA7B43" w:rsidRDefault="00E73EBE" w:rsidP="00EA7B43">
            <w:pPr>
              <w:rPr>
                <w:rFonts w:ascii="Calibri" w:eastAsia="Times New Roman" w:hAnsi="Calibri" w:cs="Times New Roman"/>
                <w:color w:val="000000"/>
                <w:lang w:eastAsia="en-GB"/>
              </w:rPr>
            </w:pPr>
            <w:r w:rsidRPr="00EA7B43">
              <w:rPr>
                <w:rFonts w:ascii="Calibri" w:eastAsia="Times New Roman" w:hAnsi="Calibri" w:cs="Times New Roman"/>
                <w:color w:val="000000"/>
                <w:lang w:eastAsia="en-GB"/>
              </w:rPr>
              <w:t>Drama</w:t>
            </w:r>
          </w:p>
        </w:tc>
        <w:tc>
          <w:tcPr>
            <w:tcW w:w="2643" w:type="dxa"/>
            <w:tcBorders>
              <w:left w:val="single" w:sz="4" w:space="0" w:color="auto"/>
            </w:tcBorders>
            <w:noWrap/>
            <w:vAlign w:val="bottom"/>
            <w:hideMark/>
          </w:tcPr>
          <w:p w:rsidR="00E73EBE" w:rsidRDefault="00F658B0" w:rsidP="00E73EBE">
            <w:pPr>
              <w:jc w:val="center"/>
              <w:rPr>
                <w:rFonts w:ascii="Calibri" w:hAnsi="Calibri"/>
                <w:color w:val="000000"/>
                <w:sz w:val="22"/>
              </w:rPr>
            </w:pPr>
            <w:r>
              <w:rPr>
                <w:rFonts w:ascii="Calibri" w:hAnsi="Calibri"/>
                <w:color w:val="000000"/>
                <w:sz w:val="22"/>
              </w:rPr>
              <w:t>35</w:t>
            </w:r>
          </w:p>
        </w:tc>
      </w:tr>
      <w:tr w:rsidR="00E73EBE" w:rsidRPr="00EA7B43" w:rsidTr="00E73EBE">
        <w:trPr>
          <w:trHeight w:val="300"/>
        </w:trPr>
        <w:tc>
          <w:tcPr>
            <w:tcW w:w="1852" w:type="dxa"/>
            <w:tcBorders>
              <w:right w:val="single" w:sz="4" w:space="0" w:color="auto"/>
            </w:tcBorders>
            <w:noWrap/>
            <w:hideMark/>
          </w:tcPr>
          <w:p w:rsidR="00E73EBE" w:rsidRPr="00EA7B43" w:rsidRDefault="00E73EBE" w:rsidP="00D12381">
            <w:pPr>
              <w:rPr>
                <w:rFonts w:ascii="Calibri" w:eastAsia="Times New Roman" w:hAnsi="Calibri" w:cs="Times New Roman"/>
                <w:color w:val="000000"/>
                <w:lang w:eastAsia="en-GB"/>
              </w:rPr>
            </w:pPr>
            <w:r w:rsidRPr="00EA7B43">
              <w:rPr>
                <w:rFonts w:ascii="Calibri" w:eastAsia="Times New Roman" w:hAnsi="Calibri" w:cs="Times New Roman"/>
                <w:color w:val="000000"/>
                <w:lang w:eastAsia="en-GB"/>
              </w:rPr>
              <w:t>Dance</w:t>
            </w:r>
          </w:p>
        </w:tc>
        <w:tc>
          <w:tcPr>
            <w:tcW w:w="2643" w:type="dxa"/>
            <w:tcBorders>
              <w:left w:val="single" w:sz="4" w:space="0" w:color="auto"/>
            </w:tcBorders>
            <w:noWrap/>
            <w:vAlign w:val="bottom"/>
            <w:hideMark/>
          </w:tcPr>
          <w:p w:rsidR="00E73EBE" w:rsidRDefault="00F658B0" w:rsidP="00E73EBE">
            <w:pPr>
              <w:jc w:val="center"/>
              <w:rPr>
                <w:rFonts w:ascii="Calibri" w:hAnsi="Calibri"/>
                <w:color w:val="000000"/>
                <w:sz w:val="22"/>
              </w:rPr>
            </w:pPr>
            <w:r>
              <w:rPr>
                <w:rFonts w:ascii="Calibri" w:hAnsi="Calibri"/>
                <w:color w:val="000000"/>
                <w:sz w:val="22"/>
              </w:rPr>
              <w:t>8</w:t>
            </w:r>
          </w:p>
        </w:tc>
      </w:tr>
      <w:tr w:rsidR="00E73EBE" w:rsidRPr="00EA7B43" w:rsidTr="00E73EBE">
        <w:trPr>
          <w:trHeight w:val="300"/>
        </w:trPr>
        <w:tc>
          <w:tcPr>
            <w:tcW w:w="1852" w:type="dxa"/>
            <w:tcBorders>
              <w:right w:val="single" w:sz="4" w:space="0" w:color="auto"/>
            </w:tcBorders>
            <w:noWrap/>
            <w:hideMark/>
          </w:tcPr>
          <w:p w:rsidR="00E73EBE" w:rsidRPr="00EA7B43" w:rsidRDefault="00E73EBE" w:rsidP="00EA7B43">
            <w:pPr>
              <w:rPr>
                <w:rFonts w:ascii="Calibri" w:eastAsia="Times New Roman" w:hAnsi="Calibri" w:cs="Times New Roman"/>
                <w:color w:val="000000"/>
                <w:lang w:eastAsia="en-GB"/>
              </w:rPr>
            </w:pPr>
            <w:r w:rsidRPr="00EA7B43">
              <w:rPr>
                <w:rFonts w:ascii="Calibri" w:eastAsia="Times New Roman" w:hAnsi="Calibri" w:cs="Times New Roman"/>
                <w:color w:val="000000"/>
                <w:lang w:eastAsia="en-GB"/>
              </w:rPr>
              <w:t>Music</w:t>
            </w:r>
          </w:p>
        </w:tc>
        <w:tc>
          <w:tcPr>
            <w:tcW w:w="2643" w:type="dxa"/>
            <w:tcBorders>
              <w:left w:val="single" w:sz="4" w:space="0" w:color="auto"/>
            </w:tcBorders>
            <w:noWrap/>
            <w:vAlign w:val="bottom"/>
            <w:hideMark/>
          </w:tcPr>
          <w:p w:rsidR="00E73EBE" w:rsidRDefault="00F658B0" w:rsidP="00E73EBE">
            <w:pPr>
              <w:jc w:val="center"/>
              <w:rPr>
                <w:rFonts w:ascii="Calibri" w:hAnsi="Calibri"/>
                <w:color w:val="000000"/>
                <w:sz w:val="22"/>
              </w:rPr>
            </w:pPr>
            <w:r>
              <w:rPr>
                <w:rFonts w:ascii="Calibri" w:hAnsi="Calibri"/>
                <w:color w:val="000000"/>
                <w:sz w:val="22"/>
              </w:rPr>
              <w:t>6</w:t>
            </w:r>
          </w:p>
        </w:tc>
      </w:tr>
      <w:tr w:rsidR="00E73EBE" w:rsidRPr="00EA7B43" w:rsidTr="0054305A">
        <w:trPr>
          <w:trHeight w:val="300"/>
        </w:trPr>
        <w:tc>
          <w:tcPr>
            <w:tcW w:w="1852" w:type="dxa"/>
            <w:tcBorders>
              <w:right w:val="single" w:sz="4" w:space="0" w:color="auto"/>
            </w:tcBorders>
            <w:noWrap/>
            <w:hideMark/>
          </w:tcPr>
          <w:p w:rsidR="00E73EBE" w:rsidRPr="00EA7B43" w:rsidRDefault="00E73EBE" w:rsidP="00EA7B43">
            <w:pPr>
              <w:rPr>
                <w:rFonts w:ascii="Calibri" w:eastAsia="Times New Roman" w:hAnsi="Calibri" w:cs="Times New Roman"/>
                <w:color w:val="000000"/>
                <w:lang w:eastAsia="en-GB"/>
              </w:rPr>
            </w:pPr>
            <w:r w:rsidRPr="00EA7B43">
              <w:rPr>
                <w:rFonts w:ascii="Calibri" w:eastAsia="Times New Roman" w:hAnsi="Calibri" w:cs="Times New Roman"/>
                <w:color w:val="000000"/>
                <w:lang w:eastAsia="en-GB"/>
              </w:rPr>
              <w:t>Traditional Arts</w:t>
            </w:r>
          </w:p>
        </w:tc>
        <w:tc>
          <w:tcPr>
            <w:tcW w:w="2643" w:type="dxa"/>
            <w:tcBorders>
              <w:left w:val="single" w:sz="4" w:space="0" w:color="auto"/>
            </w:tcBorders>
            <w:noWrap/>
            <w:vAlign w:val="bottom"/>
            <w:hideMark/>
          </w:tcPr>
          <w:p w:rsidR="00E73EBE" w:rsidRDefault="00F658B0" w:rsidP="00E73EBE">
            <w:pPr>
              <w:jc w:val="center"/>
              <w:rPr>
                <w:rFonts w:ascii="Calibri" w:hAnsi="Calibri"/>
                <w:color w:val="000000"/>
                <w:sz w:val="22"/>
              </w:rPr>
            </w:pPr>
            <w:r>
              <w:rPr>
                <w:rFonts w:ascii="Calibri" w:hAnsi="Calibri"/>
                <w:color w:val="000000"/>
                <w:sz w:val="22"/>
              </w:rPr>
              <w:t>3</w:t>
            </w:r>
          </w:p>
        </w:tc>
      </w:tr>
      <w:tr w:rsidR="00E73EBE" w:rsidRPr="00EA7B43" w:rsidTr="0054305A">
        <w:trPr>
          <w:trHeight w:val="300"/>
        </w:trPr>
        <w:tc>
          <w:tcPr>
            <w:tcW w:w="1852" w:type="dxa"/>
            <w:tcBorders>
              <w:bottom w:val="single" w:sz="4" w:space="0" w:color="auto"/>
              <w:right w:val="single" w:sz="4" w:space="0" w:color="auto"/>
            </w:tcBorders>
            <w:noWrap/>
            <w:hideMark/>
          </w:tcPr>
          <w:p w:rsidR="00E73EBE" w:rsidRPr="00EA7B43" w:rsidRDefault="00E73EBE" w:rsidP="00EA7B43">
            <w:pPr>
              <w:rPr>
                <w:rFonts w:ascii="Calibri" w:eastAsia="Times New Roman" w:hAnsi="Calibri" w:cs="Times New Roman"/>
                <w:color w:val="000000"/>
                <w:lang w:eastAsia="en-GB"/>
              </w:rPr>
            </w:pPr>
            <w:r w:rsidRPr="00EA7B43">
              <w:rPr>
                <w:rFonts w:ascii="Calibri" w:eastAsia="Times New Roman" w:hAnsi="Calibri" w:cs="Times New Roman"/>
                <w:color w:val="000000"/>
                <w:lang w:eastAsia="en-GB"/>
              </w:rPr>
              <w:t>Literature</w:t>
            </w:r>
          </w:p>
        </w:tc>
        <w:tc>
          <w:tcPr>
            <w:tcW w:w="2643" w:type="dxa"/>
            <w:tcBorders>
              <w:left w:val="single" w:sz="4" w:space="0" w:color="auto"/>
              <w:bottom w:val="single" w:sz="4" w:space="0" w:color="auto"/>
            </w:tcBorders>
            <w:noWrap/>
            <w:vAlign w:val="bottom"/>
            <w:hideMark/>
          </w:tcPr>
          <w:p w:rsidR="00E73EBE" w:rsidRDefault="00F658B0" w:rsidP="00E73EBE">
            <w:pPr>
              <w:jc w:val="center"/>
              <w:rPr>
                <w:rFonts w:ascii="Calibri" w:hAnsi="Calibri"/>
                <w:color w:val="000000"/>
                <w:sz w:val="22"/>
              </w:rPr>
            </w:pPr>
            <w:r>
              <w:rPr>
                <w:rFonts w:ascii="Calibri" w:hAnsi="Calibri"/>
                <w:color w:val="000000"/>
                <w:sz w:val="22"/>
              </w:rPr>
              <w:t>1</w:t>
            </w:r>
          </w:p>
        </w:tc>
      </w:tr>
    </w:tbl>
    <w:p w:rsidR="00924282" w:rsidRPr="00924282" w:rsidRDefault="00EA7B43" w:rsidP="00094281">
      <w:pPr>
        <w:rPr>
          <w:sz w:val="18"/>
          <w:szCs w:val="18"/>
        </w:rPr>
      </w:pPr>
      <w:r>
        <w:fldChar w:fldCharType="end"/>
      </w:r>
      <w:r w:rsidR="00924282" w:rsidRPr="00924282">
        <w:rPr>
          <w:sz w:val="18"/>
          <w:szCs w:val="18"/>
        </w:rPr>
        <w:t>Note:</w:t>
      </w:r>
    </w:p>
    <w:p w:rsidR="00EA7B43" w:rsidRDefault="00924282" w:rsidP="00094281">
      <w:pPr>
        <w:rPr>
          <w:rFonts w:asciiTheme="minorHAnsi" w:hAnsiTheme="minorHAnsi"/>
        </w:rPr>
      </w:pPr>
      <w:r w:rsidRPr="00924282">
        <w:rPr>
          <w:sz w:val="18"/>
          <w:szCs w:val="18"/>
        </w:rPr>
        <w:t>Audience figures include known and estimated audiences</w:t>
      </w:r>
      <w:r w:rsidR="00EA7B43">
        <w:fldChar w:fldCharType="begin"/>
      </w:r>
      <w:r w:rsidR="00EA7B43">
        <w:instrText xml:space="preserve"> LINK Excel.Sheet.12 "\\\\fs0.acninet.local\\strategic_share\\Policy &amp; Research Team\\Survey Data Sets\\RFO\\RFO 1314\\1314 Finance\\1314 charts v2.xlsx" "Performance charts!R20C3:R27C6" \a \f 4 \h </w:instrText>
      </w:r>
      <w:r w:rsidR="00EA7B43">
        <w:fldChar w:fldCharType="separate"/>
      </w:r>
    </w:p>
    <w:p w:rsidR="00896A1A" w:rsidRDefault="00EA7B43" w:rsidP="00EA7B43">
      <w:pPr>
        <w:rPr>
          <w:bCs/>
        </w:rPr>
      </w:pPr>
      <w:r>
        <w:rPr>
          <w:bCs/>
        </w:rPr>
        <w:fldChar w:fldCharType="end"/>
      </w:r>
    </w:p>
    <w:p w:rsidR="008B6D85" w:rsidRDefault="00D424DE" w:rsidP="00EA7B43">
      <w:r>
        <w:t>Figure 1</w:t>
      </w:r>
      <w:r w:rsidR="00DB633A">
        <w:t>3</w:t>
      </w:r>
      <w:r w:rsidR="008B6D85">
        <w:t xml:space="preserve"> shows the breakdown of ticket sales by type (full-price, discounted and concessionary).  Based on the overall sample, 84 percent of tickets distributed were sold at full-pric</w:t>
      </w:r>
      <w:r w:rsidR="00814845">
        <w:t xml:space="preserve">e.  At an artform level, Dance distributed the largest proportion of tickets at full-price (97 percent), followed by Drama (87 percent) and Combined Arts (83 percent).  </w:t>
      </w:r>
    </w:p>
    <w:p w:rsidR="008B6D85" w:rsidRDefault="008B6D85" w:rsidP="00EA7B43"/>
    <w:p w:rsidR="008B6D85" w:rsidRDefault="008B6D85" w:rsidP="00EA7B43"/>
    <w:p w:rsidR="008B6D85" w:rsidRDefault="008B6D85" w:rsidP="00EA7B43"/>
    <w:p w:rsidR="008B6D85" w:rsidRDefault="008B6D85" w:rsidP="00EA7B43"/>
    <w:p w:rsidR="008B6D85" w:rsidRDefault="008B6D85" w:rsidP="00EA7B43"/>
    <w:p w:rsidR="00F41FC4" w:rsidRDefault="00F41FC4" w:rsidP="000F2529">
      <w:pPr>
        <w:pStyle w:val="Caption"/>
      </w:pPr>
      <w:bookmarkStart w:id="29" w:name="_Toc402964769"/>
    </w:p>
    <w:p w:rsidR="00D12381" w:rsidRDefault="000F2529" w:rsidP="000F2529">
      <w:pPr>
        <w:pStyle w:val="Caption"/>
        <w:rPr>
          <w:rFonts w:asciiTheme="minorHAnsi" w:hAnsiTheme="minorHAnsi"/>
        </w:rPr>
      </w:pPr>
      <w:r>
        <w:lastRenderedPageBreak/>
        <w:t xml:space="preserve">Figure </w:t>
      </w:r>
      <w:r w:rsidR="00D3437B">
        <w:fldChar w:fldCharType="begin"/>
      </w:r>
      <w:r w:rsidR="00D3437B">
        <w:instrText xml:space="preserve"> SEQ Figure \* ARABIC </w:instrText>
      </w:r>
      <w:r w:rsidR="00D3437B">
        <w:fldChar w:fldCharType="separate"/>
      </w:r>
      <w:r w:rsidR="00875985">
        <w:rPr>
          <w:noProof/>
        </w:rPr>
        <w:t>13</w:t>
      </w:r>
      <w:r w:rsidR="00D3437B">
        <w:rPr>
          <w:noProof/>
        </w:rPr>
        <w:fldChar w:fldCharType="end"/>
      </w:r>
      <w:r>
        <w:t xml:space="preserve">: </w:t>
      </w:r>
      <w:r w:rsidR="00771C0F" w:rsidRPr="000F2529">
        <w:rPr>
          <w:b w:val="0"/>
        </w:rPr>
        <w:t>Breakdown of percentage ticket sales by type, 2013/14 (N=24,171)</w:t>
      </w:r>
      <w:bookmarkEnd w:id="29"/>
      <w:r w:rsidR="00D12381">
        <w:fldChar w:fldCharType="begin"/>
      </w:r>
      <w:r w:rsidR="00D12381">
        <w:instrText xml:space="preserve"> LINK Excel.Sheet.12 "\\\\fs0.acninet.local\\strategic_share\\Policy &amp; Research Team\\Survey Data Sets\\RFO\\RFO 1314\\1314 Finance\\1314 charts v2.xlsx" "Performance charts!R41C3:R48C6" \a \f 4 \h  \* MERGEFORMAT </w:instrText>
      </w:r>
      <w:r w:rsidR="00D12381">
        <w:fldChar w:fldCharType="separate"/>
      </w:r>
    </w:p>
    <w:tbl>
      <w:tblPr>
        <w:tblW w:w="8100" w:type="dxa"/>
        <w:tblInd w:w="108" w:type="dxa"/>
        <w:tblLook w:val="04A0" w:firstRow="1" w:lastRow="0" w:firstColumn="1" w:lastColumn="0" w:noHBand="0" w:noVBand="1"/>
      </w:tblPr>
      <w:tblGrid>
        <w:gridCol w:w="1960"/>
        <w:gridCol w:w="1960"/>
        <w:gridCol w:w="2220"/>
        <w:gridCol w:w="1960"/>
      </w:tblGrid>
      <w:tr w:rsidR="00D12381" w:rsidRPr="00924282" w:rsidTr="00DB633A">
        <w:trPr>
          <w:trHeight w:val="300"/>
        </w:trPr>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D12381" w:rsidRPr="00924282" w:rsidRDefault="00D12381" w:rsidP="00D12381">
            <w:pPr>
              <w:spacing w:line="240" w:lineRule="auto"/>
              <w:rPr>
                <w:rFonts w:ascii="Calibri" w:eastAsia="Times New Roman" w:hAnsi="Calibri" w:cs="Times New Roman"/>
                <w:b/>
                <w:color w:val="000000"/>
                <w:lang w:eastAsia="en-GB"/>
              </w:rPr>
            </w:pPr>
          </w:p>
        </w:tc>
        <w:tc>
          <w:tcPr>
            <w:tcW w:w="1960" w:type="dxa"/>
            <w:tcBorders>
              <w:top w:val="single" w:sz="4" w:space="0" w:color="auto"/>
              <w:left w:val="single" w:sz="4" w:space="0" w:color="auto"/>
              <w:bottom w:val="single" w:sz="4" w:space="0" w:color="auto"/>
              <w:right w:val="nil"/>
            </w:tcBorders>
            <w:shd w:val="clear" w:color="auto" w:fill="auto"/>
            <w:noWrap/>
            <w:vAlign w:val="bottom"/>
            <w:hideMark/>
          </w:tcPr>
          <w:p w:rsidR="00D12381" w:rsidRPr="00924282" w:rsidRDefault="00924282" w:rsidP="00D12381">
            <w:pPr>
              <w:spacing w:line="240" w:lineRule="auto"/>
              <w:rPr>
                <w:rFonts w:ascii="Calibri" w:eastAsia="Times New Roman" w:hAnsi="Calibri" w:cs="Times New Roman"/>
                <w:b/>
                <w:color w:val="000000"/>
                <w:lang w:eastAsia="en-GB"/>
              </w:rPr>
            </w:pPr>
            <w:r>
              <w:rPr>
                <w:rFonts w:ascii="Calibri" w:eastAsia="Times New Roman" w:hAnsi="Calibri" w:cs="Times New Roman"/>
                <w:b/>
                <w:color w:val="000000"/>
                <w:lang w:eastAsia="en-GB"/>
              </w:rPr>
              <w:t>Full-</w:t>
            </w:r>
            <w:r w:rsidR="00D12381" w:rsidRPr="00924282">
              <w:rPr>
                <w:rFonts w:ascii="Calibri" w:eastAsia="Times New Roman" w:hAnsi="Calibri" w:cs="Times New Roman"/>
                <w:b/>
                <w:color w:val="000000"/>
                <w:lang w:eastAsia="en-GB"/>
              </w:rPr>
              <w:t>price</w:t>
            </w:r>
            <w:r w:rsidR="006E35AC">
              <w:rPr>
                <w:rFonts w:ascii="Calibri" w:eastAsia="Times New Roman" w:hAnsi="Calibri" w:cs="Times New Roman"/>
                <w:b/>
                <w:color w:val="000000"/>
                <w:lang w:eastAsia="en-GB"/>
              </w:rPr>
              <w:t xml:space="preserve"> </w:t>
            </w:r>
          </w:p>
        </w:tc>
        <w:tc>
          <w:tcPr>
            <w:tcW w:w="2220" w:type="dxa"/>
            <w:tcBorders>
              <w:top w:val="single" w:sz="4" w:space="0" w:color="auto"/>
              <w:left w:val="nil"/>
              <w:bottom w:val="single" w:sz="4" w:space="0" w:color="auto"/>
              <w:right w:val="nil"/>
            </w:tcBorders>
            <w:shd w:val="clear" w:color="auto" w:fill="auto"/>
            <w:noWrap/>
            <w:vAlign w:val="bottom"/>
            <w:hideMark/>
          </w:tcPr>
          <w:p w:rsidR="00D12381" w:rsidRPr="00924282" w:rsidRDefault="00D12381" w:rsidP="00D12381">
            <w:pPr>
              <w:spacing w:line="240" w:lineRule="auto"/>
              <w:rPr>
                <w:rFonts w:ascii="Calibri" w:eastAsia="Times New Roman" w:hAnsi="Calibri" w:cs="Times New Roman"/>
                <w:b/>
                <w:color w:val="000000"/>
                <w:lang w:eastAsia="en-GB"/>
              </w:rPr>
            </w:pPr>
            <w:r w:rsidRPr="00924282">
              <w:rPr>
                <w:rFonts w:ascii="Calibri" w:eastAsia="Times New Roman" w:hAnsi="Calibri" w:cs="Times New Roman"/>
                <w:b/>
                <w:color w:val="000000"/>
                <w:lang w:eastAsia="en-GB"/>
              </w:rPr>
              <w:t>Discounted</w:t>
            </w:r>
          </w:p>
        </w:tc>
        <w:tc>
          <w:tcPr>
            <w:tcW w:w="1960" w:type="dxa"/>
            <w:tcBorders>
              <w:top w:val="single" w:sz="4" w:space="0" w:color="auto"/>
              <w:left w:val="nil"/>
              <w:bottom w:val="single" w:sz="4" w:space="0" w:color="auto"/>
              <w:right w:val="nil"/>
            </w:tcBorders>
            <w:shd w:val="clear" w:color="auto" w:fill="auto"/>
            <w:noWrap/>
            <w:vAlign w:val="bottom"/>
            <w:hideMark/>
          </w:tcPr>
          <w:p w:rsidR="00D12381" w:rsidRPr="00924282" w:rsidRDefault="00D12381" w:rsidP="00D12381">
            <w:pPr>
              <w:spacing w:line="240" w:lineRule="auto"/>
              <w:rPr>
                <w:rFonts w:ascii="Calibri" w:eastAsia="Times New Roman" w:hAnsi="Calibri" w:cs="Times New Roman"/>
                <w:b/>
                <w:color w:val="000000"/>
                <w:lang w:eastAsia="en-GB"/>
              </w:rPr>
            </w:pPr>
            <w:r w:rsidRPr="00924282">
              <w:rPr>
                <w:rFonts w:ascii="Calibri" w:eastAsia="Times New Roman" w:hAnsi="Calibri" w:cs="Times New Roman"/>
                <w:b/>
                <w:color w:val="000000"/>
                <w:lang w:eastAsia="en-GB"/>
              </w:rPr>
              <w:t>Concessionary</w:t>
            </w:r>
          </w:p>
        </w:tc>
      </w:tr>
      <w:tr w:rsidR="00D12381" w:rsidRPr="00D12381" w:rsidTr="00DB633A">
        <w:trPr>
          <w:trHeight w:val="300"/>
        </w:trPr>
        <w:tc>
          <w:tcPr>
            <w:tcW w:w="1960" w:type="dxa"/>
            <w:tcBorders>
              <w:top w:val="single" w:sz="4" w:space="0" w:color="auto"/>
              <w:left w:val="nil"/>
              <w:bottom w:val="nil"/>
              <w:right w:val="single" w:sz="4" w:space="0" w:color="auto"/>
            </w:tcBorders>
            <w:shd w:val="clear" w:color="auto" w:fill="auto"/>
            <w:noWrap/>
            <w:vAlign w:val="bottom"/>
            <w:hideMark/>
          </w:tcPr>
          <w:p w:rsidR="00D12381" w:rsidRPr="00D12381" w:rsidRDefault="00D12381" w:rsidP="00D12381">
            <w:pPr>
              <w:spacing w:line="240" w:lineRule="auto"/>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Drama</w:t>
            </w:r>
          </w:p>
        </w:tc>
        <w:tc>
          <w:tcPr>
            <w:tcW w:w="1960" w:type="dxa"/>
            <w:tcBorders>
              <w:top w:val="single" w:sz="4" w:space="0" w:color="auto"/>
              <w:left w:val="single" w:sz="4" w:space="0" w:color="auto"/>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87</w:t>
            </w:r>
          </w:p>
        </w:tc>
        <w:tc>
          <w:tcPr>
            <w:tcW w:w="2220" w:type="dxa"/>
            <w:tcBorders>
              <w:top w:val="single" w:sz="4" w:space="0" w:color="auto"/>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9</w:t>
            </w:r>
          </w:p>
        </w:tc>
        <w:tc>
          <w:tcPr>
            <w:tcW w:w="1960" w:type="dxa"/>
            <w:tcBorders>
              <w:top w:val="single" w:sz="4" w:space="0" w:color="auto"/>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4</w:t>
            </w:r>
          </w:p>
        </w:tc>
      </w:tr>
      <w:tr w:rsidR="00D12381" w:rsidRPr="00D12381" w:rsidTr="00DB633A">
        <w:trPr>
          <w:trHeight w:val="300"/>
        </w:trPr>
        <w:tc>
          <w:tcPr>
            <w:tcW w:w="1960" w:type="dxa"/>
            <w:tcBorders>
              <w:top w:val="nil"/>
              <w:left w:val="nil"/>
              <w:bottom w:val="nil"/>
              <w:right w:val="single" w:sz="4" w:space="0" w:color="auto"/>
            </w:tcBorders>
            <w:shd w:val="clear" w:color="auto" w:fill="auto"/>
            <w:noWrap/>
            <w:vAlign w:val="bottom"/>
            <w:hideMark/>
          </w:tcPr>
          <w:p w:rsidR="00D12381" w:rsidRPr="00D12381" w:rsidRDefault="00D12381" w:rsidP="00D12381">
            <w:pPr>
              <w:spacing w:line="240" w:lineRule="auto"/>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Combined Arts</w:t>
            </w:r>
          </w:p>
        </w:tc>
        <w:tc>
          <w:tcPr>
            <w:tcW w:w="1960" w:type="dxa"/>
            <w:tcBorders>
              <w:top w:val="nil"/>
              <w:left w:val="single" w:sz="4" w:space="0" w:color="auto"/>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83</w:t>
            </w:r>
          </w:p>
        </w:tc>
        <w:tc>
          <w:tcPr>
            <w:tcW w:w="2220" w:type="dxa"/>
            <w:tcBorders>
              <w:top w:val="nil"/>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12</w:t>
            </w:r>
          </w:p>
        </w:tc>
        <w:tc>
          <w:tcPr>
            <w:tcW w:w="1960" w:type="dxa"/>
            <w:tcBorders>
              <w:top w:val="nil"/>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5</w:t>
            </w:r>
          </w:p>
        </w:tc>
      </w:tr>
      <w:tr w:rsidR="00D12381" w:rsidRPr="00D12381" w:rsidTr="00DB633A">
        <w:trPr>
          <w:trHeight w:val="300"/>
        </w:trPr>
        <w:tc>
          <w:tcPr>
            <w:tcW w:w="1960" w:type="dxa"/>
            <w:tcBorders>
              <w:top w:val="nil"/>
              <w:left w:val="nil"/>
              <w:bottom w:val="nil"/>
              <w:right w:val="single" w:sz="4" w:space="0" w:color="auto"/>
            </w:tcBorders>
            <w:shd w:val="clear" w:color="auto" w:fill="auto"/>
            <w:noWrap/>
            <w:vAlign w:val="bottom"/>
            <w:hideMark/>
          </w:tcPr>
          <w:p w:rsidR="00D12381" w:rsidRPr="00D12381" w:rsidRDefault="00D12381" w:rsidP="00D12381">
            <w:pPr>
              <w:spacing w:line="240" w:lineRule="auto"/>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Music</w:t>
            </w:r>
          </w:p>
        </w:tc>
        <w:tc>
          <w:tcPr>
            <w:tcW w:w="1960" w:type="dxa"/>
            <w:tcBorders>
              <w:top w:val="nil"/>
              <w:left w:val="single" w:sz="4" w:space="0" w:color="auto"/>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70</w:t>
            </w:r>
          </w:p>
        </w:tc>
        <w:tc>
          <w:tcPr>
            <w:tcW w:w="2220" w:type="dxa"/>
            <w:tcBorders>
              <w:top w:val="nil"/>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19</w:t>
            </w:r>
          </w:p>
        </w:tc>
        <w:tc>
          <w:tcPr>
            <w:tcW w:w="1960" w:type="dxa"/>
            <w:tcBorders>
              <w:top w:val="nil"/>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11</w:t>
            </w:r>
          </w:p>
        </w:tc>
      </w:tr>
      <w:tr w:rsidR="00D12381" w:rsidRPr="00D12381" w:rsidTr="00DB633A">
        <w:trPr>
          <w:trHeight w:val="300"/>
        </w:trPr>
        <w:tc>
          <w:tcPr>
            <w:tcW w:w="1960" w:type="dxa"/>
            <w:tcBorders>
              <w:top w:val="nil"/>
              <w:left w:val="nil"/>
              <w:bottom w:val="nil"/>
              <w:right w:val="single" w:sz="4" w:space="0" w:color="auto"/>
            </w:tcBorders>
            <w:shd w:val="clear" w:color="auto" w:fill="auto"/>
            <w:noWrap/>
            <w:vAlign w:val="bottom"/>
            <w:hideMark/>
          </w:tcPr>
          <w:p w:rsidR="00D12381" w:rsidRPr="00D12381" w:rsidRDefault="00D12381" w:rsidP="00D12381">
            <w:pPr>
              <w:spacing w:line="240" w:lineRule="auto"/>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Traditional Arts</w:t>
            </w:r>
          </w:p>
        </w:tc>
        <w:tc>
          <w:tcPr>
            <w:tcW w:w="1960" w:type="dxa"/>
            <w:tcBorders>
              <w:top w:val="nil"/>
              <w:left w:val="single" w:sz="4" w:space="0" w:color="auto"/>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73</w:t>
            </w:r>
          </w:p>
        </w:tc>
        <w:tc>
          <w:tcPr>
            <w:tcW w:w="2220" w:type="dxa"/>
            <w:tcBorders>
              <w:top w:val="nil"/>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26</w:t>
            </w:r>
          </w:p>
        </w:tc>
        <w:tc>
          <w:tcPr>
            <w:tcW w:w="1960" w:type="dxa"/>
            <w:tcBorders>
              <w:top w:val="nil"/>
              <w:left w:val="nil"/>
              <w:bottom w:val="nil"/>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2</w:t>
            </w:r>
          </w:p>
        </w:tc>
      </w:tr>
      <w:tr w:rsidR="00D12381" w:rsidRPr="00D12381" w:rsidTr="00DB633A">
        <w:trPr>
          <w:trHeight w:val="300"/>
        </w:trPr>
        <w:tc>
          <w:tcPr>
            <w:tcW w:w="1960" w:type="dxa"/>
            <w:tcBorders>
              <w:top w:val="nil"/>
              <w:left w:val="nil"/>
              <w:bottom w:val="single" w:sz="4" w:space="0" w:color="auto"/>
              <w:right w:val="single" w:sz="4" w:space="0" w:color="auto"/>
            </w:tcBorders>
            <w:shd w:val="clear" w:color="auto" w:fill="auto"/>
            <w:noWrap/>
            <w:vAlign w:val="bottom"/>
            <w:hideMark/>
          </w:tcPr>
          <w:p w:rsidR="00D12381" w:rsidRPr="00D12381" w:rsidRDefault="00D12381" w:rsidP="00D12381">
            <w:pPr>
              <w:spacing w:line="240" w:lineRule="auto"/>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Dance</w:t>
            </w:r>
          </w:p>
        </w:tc>
        <w:tc>
          <w:tcPr>
            <w:tcW w:w="1960" w:type="dxa"/>
            <w:tcBorders>
              <w:top w:val="nil"/>
              <w:left w:val="single" w:sz="4" w:space="0" w:color="auto"/>
              <w:bottom w:val="single" w:sz="4" w:space="0" w:color="auto"/>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97</w:t>
            </w:r>
          </w:p>
        </w:tc>
        <w:tc>
          <w:tcPr>
            <w:tcW w:w="2220" w:type="dxa"/>
            <w:tcBorders>
              <w:top w:val="nil"/>
              <w:left w:val="nil"/>
              <w:bottom w:val="single" w:sz="4" w:space="0" w:color="auto"/>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3</w:t>
            </w:r>
          </w:p>
        </w:tc>
        <w:tc>
          <w:tcPr>
            <w:tcW w:w="1960" w:type="dxa"/>
            <w:tcBorders>
              <w:top w:val="nil"/>
              <w:left w:val="nil"/>
              <w:bottom w:val="single" w:sz="4" w:space="0" w:color="auto"/>
              <w:right w:val="nil"/>
            </w:tcBorders>
            <w:shd w:val="clear" w:color="auto" w:fill="auto"/>
            <w:noWrap/>
            <w:vAlign w:val="bottom"/>
            <w:hideMark/>
          </w:tcPr>
          <w:p w:rsidR="00D12381" w:rsidRPr="00D12381" w:rsidRDefault="00D12381" w:rsidP="00DB633A">
            <w:pPr>
              <w:spacing w:line="240" w:lineRule="auto"/>
              <w:jc w:val="center"/>
              <w:rPr>
                <w:rFonts w:ascii="Calibri" w:eastAsia="Times New Roman" w:hAnsi="Calibri" w:cs="Times New Roman"/>
                <w:color w:val="000000"/>
                <w:lang w:eastAsia="en-GB"/>
              </w:rPr>
            </w:pPr>
            <w:r w:rsidRPr="00D12381">
              <w:rPr>
                <w:rFonts w:ascii="Calibri" w:eastAsia="Times New Roman" w:hAnsi="Calibri" w:cs="Times New Roman"/>
                <w:color w:val="000000"/>
                <w:lang w:eastAsia="en-GB"/>
              </w:rPr>
              <w:t>0</w:t>
            </w:r>
          </w:p>
        </w:tc>
      </w:tr>
      <w:tr w:rsidR="00D12381" w:rsidRPr="000F2529" w:rsidTr="00DB633A">
        <w:trPr>
          <w:trHeight w:val="300"/>
        </w:trPr>
        <w:tc>
          <w:tcPr>
            <w:tcW w:w="1960" w:type="dxa"/>
            <w:tcBorders>
              <w:top w:val="single" w:sz="4" w:space="0" w:color="auto"/>
              <w:left w:val="nil"/>
              <w:bottom w:val="single" w:sz="4" w:space="0" w:color="auto"/>
              <w:right w:val="single" w:sz="4" w:space="0" w:color="auto"/>
            </w:tcBorders>
            <w:shd w:val="clear" w:color="auto" w:fill="auto"/>
            <w:noWrap/>
            <w:vAlign w:val="bottom"/>
            <w:hideMark/>
          </w:tcPr>
          <w:p w:rsidR="00D12381" w:rsidRPr="000F2529" w:rsidRDefault="00D12381" w:rsidP="00D12381">
            <w:pPr>
              <w:spacing w:line="240" w:lineRule="auto"/>
              <w:rPr>
                <w:rFonts w:ascii="Calibri" w:eastAsia="Times New Roman" w:hAnsi="Calibri" w:cs="Times New Roman"/>
                <w:b/>
                <w:color w:val="000000"/>
                <w:lang w:eastAsia="en-GB"/>
              </w:rPr>
            </w:pPr>
            <w:r w:rsidRPr="000F2529">
              <w:rPr>
                <w:rFonts w:ascii="Calibri" w:eastAsia="Times New Roman" w:hAnsi="Calibri" w:cs="Times New Roman"/>
                <w:b/>
                <w:color w:val="000000"/>
                <w:lang w:eastAsia="en-GB"/>
              </w:rPr>
              <w:t>Total</w:t>
            </w:r>
          </w:p>
        </w:tc>
        <w:tc>
          <w:tcPr>
            <w:tcW w:w="1960" w:type="dxa"/>
            <w:tcBorders>
              <w:top w:val="single" w:sz="4" w:space="0" w:color="auto"/>
              <w:left w:val="single" w:sz="4" w:space="0" w:color="auto"/>
              <w:bottom w:val="single" w:sz="4" w:space="0" w:color="auto"/>
              <w:right w:val="nil"/>
            </w:tcBorders>
            <w:shd w:val="clear" w:color="auto" w:fill="auto"/>
            <w:noWrap/>
            <w:vAlign w:val="bottom"/>
            <w:hideMark/>
          </w:tcPr>
          <w:p w:rsidR="00D12381" w:rsidRPr="000F2529" w:rsidRDefault="0054305A" w:rsidP="00DB633A">
            <w:pPr>
              <w:spacing w:line="240" w:lineRule="auto"/>
              <w:jc w:val="center"/>
              <w:rPr>
                <w:rFonts w:ascii="Calibri" w:eastAsia="Times New Roman" w:hAnsi="Calibri" w:cs="Times New Roman"/>
                <w:b/>
                <w:color w:val="000000"/>
                <w:lang w:eastAsia="en-GB"/>
              </w:rPr>
            </w:pPr>
            <w:r>
              <w:rPr>
                <w:rFonts w:ascii="Calibri" w:eastAsia="Times New Roman" w:hAnsi="Calibri" w:cs="Times New Roman"/>
                <w:b/>
                <w:color w:val="000000"/>
                <w:lang w:eastAsia="en-GB"/>
              </w:rPr>
              <w:t>84</w:t>
            </w:r>
          </w:p>
        </w:tc>
        <w:tc>
          <w:tcPr>
            <w:tcW w:w="2220" w:type="dxa"/>
            <w:tcBorders>
              <w:top w:val="single" w:sz="4" w:space="0" w:color="auto"/>
              <w:left w:val="nil"/>
              <w:bottom w:val="single" w:sz="4" w:space="0" w:color="auto"/>
              <w:right w:val="nil"/>
            </w:tcBorders>
            <w:shd w:val="clear" w:color="auto" w:fill="auto"/>
            <w:noWrap/>
            <w:vAlign w:val="bottom"/>
            <w:hideMark/>
          </w:tcPr>
          <w:p w:rsidR="00D12381" w:rsidRPr="000F2529" w:rsidRDefault="0054305A" w:rsidP="00DB633A">
            <w:pPr>
              <w:spacing w:line="240" w:lineRule="auto"/>
              <w:jc w:val="center"/>
              <w:rPr>
                <w:rFonts w:ascii="Calibri" w:eastAsia="Times New Roman" w:hAnsi="Calibri" w:cs="Times New Roman"/>
                <w:b/>
                <w:color w:val="000000"/>
                <w:lang w:eastAsia="en-GB"/>
              </w:rPr>
            </w:pPr>
            <w:r>
              <w:rPr>
                <w:rFonts w:ascii="Calibri" w:eastAsia="Times New Roman" w:hAnsi="Calibri" w:cs="Times New Roman"/>
                <w:b/>
                <w:color w:val="000000"/>
                <w:lang w:eastAsia="en-GB"/>
              </w:rPr>
              <w:t>11</w:t>
            </w:r>
          </w:p>
        </w:tc>
        <w:tc>
          <w:tcPr>
            <w:tcW w:w="1960" w:type="dxa"/>
            <w:tcBorders>
              <w:top w:val="single" w:sz="4" w:space="0" w:color="auto"/>
              <w:left w:val="nil"/>
              <w:bottom w:val="single" w:sz="4" w:space="0" w:color="auto"/>
              <w:right w:val="nil"/>
            </w:tcBorders>
            <w:shd w:val="clear" w:color="auto" w:fill="auto"/>
            <w:noWrap/>
            <w:vAlign w:val="bottom"/>
            <w:hideMark/>
          </w:tcPr>
          <w:p w:rsidR="00D12381" w:rsidRPr="000F2529" w:rsidRDefault="0054305A" w:rsidP="00DB633A">
            <w:pPr>
              <w:spacing w:line="240" w:lineRule="auto"/>
              <w:jc w:val="center"/>
              <w:rPr>
                <w:rFonts w:ascii="Calibri" w:eastAsia="Times New Roman" w:hAnsi="Calibri" w:cs="Times New Roman"/>
                <w:b/>
                <w:color w:val="000000"/>
                <w:lang w:eastAsia="en-GB"/>
              </w:rPr>
            </w:pPr>
            <w:r>
              <w:rPr>
                <w:rFonts w:ascii="Calibri" w:eastAsia="Times New Roman" w:hAnsi="Calibri" w:cs="Times New Roman"/>
                <w:b/>
                <w:color w:val="000000"/>
                <w:lang w:eastAsia="en-GB"/>
              </w:rPr>
              <w:t>5</w:t>
            </w:r>
          </w:p>
        </w:tc>
      </w:tr>
    </w:tbl>
    <w:p w:rsidR="00EA7B43" w:rsidRDefault="00D12381" w:rsidP="00EA7B43">
      <w:pPr>
        <w:rPr>
          <w:bCs/>
        </w:rPr>
      </w:pPr>
      <w:r>
        <w:rPr>
          <w:bCs/>
        </w:rPr>
        <w:fldChar w:fldCharType="end"/>
      </w:r>
    </w:p>
    <w:p w:rsidR="00A93752" w:rsidRDefault="00A93752">
      <w:pPr>
        <w:spacing w:after="200"/>
        <w:rPr>
          <w:bCs/>
        </w:rPr>
      </w:pPr>
      <w:r>
        <w:rPr>
          <w:bCs/>
        </w:rPr>
        <w:br w:type="page"/>
      </w:r>
    </w:p>
    <w:p w:rsidR="00924282" w:rsidRDefault="00A93752" w:rsidP="00A93752">
      <w:pPr>
        <w:pStyle w:val="Heading1"/>
      </w:pPr>
      <w:bookmarkStart w:id="30" w:name="_Toc403986356"/>
      <w:r>
        <w:lastRenderedPageBreak/>
        <w:t>Exhibitions</w:t>
      </w:r>
      <w:bookmarkEnd w:id="30"/>
    </w:p>
    <w:p w:rsidR="00A93752" w:rsidRDefault="00A93752" w:rsidP="00A93752"/>
    <w:p w:rsidR="0013239E" w:rsidRDefault="0013239E" w:rsidP="0013239E">
      <w:pPr>
        <w:rPr>
          <w:bCs/>
        </w:rPr>
      </w:pPr>
      <w:r>
        <w:rPr>
          <w:bCs/>
        </w:rPr>
        <w:t>As with other years, audience figures submitted by some organisations presenting exhibitions showed a degree of volatility compared to other activity areas, with a general lack of consistency shown between years, particularly at an organisation level.  This is largely due to the nature of events, some of which are in public spaces and dis</w:t>
      </w:r>
      <w:r w:rsidR="009E0FB8">
        <w:rPr>
          <w:bCs/>
        </w:rPr>
        <w:t>played over prolonged periods and the methods of data collection which are often limited to head-counts or broad estimations.</w:t>
      </w:r>
    </w:p>
    <w:p w:rsidR="0013239E" w:rsidRDefault="0013239E" w:rsidP="0013239E">
      <w:pPr>
        <w:rPr>
          <w:bCs/>
        </w:rPr>
      </w:pPr>
    </w:p>
    <w:p w:rsidR="0013239E" w:rsidRDefault="0013239E" w:rsidP="0013239E">
      <w:pPr>
        <w:rPr>
          <w:bCs/>
        </w:rPr>
      </w:pPr>
      <w:r>
        <w:rPr>
          <w:bCs/>
        </w:rPr>
        <w:t xml:space="preserve">As with other activity areas, organisations holding exhibitions were asked to report audience figures as either ‘known’ or ‘estimated’.  A higher degree of confidence can be placed in known figures as these are recorded using dedicated monitoring techniques.   </w:t>
      </w:r>
    </w:p>
    <w:p w:rsidR="008A18C0" w:rsidRDefault="008A18C0" w:rsidP="00A93752"/>
    <w:p w:rsidR="000F2529" w:rsidRPr="000F2529" w:rsidRDefault="000F2529" w:rsidP="000F2529">
      <w:pPr>
        <w:pStyle w:val="Caption"/>
        <w:rPr>
          <w:b w:val="0"/>
        </w:rPr>
      </w:pPr>
      <w:r>
        <w:t xml:space="preserve">Table </w:t>
      </w:r>
      <w:r w:rsidR="00D3437B">
        <w:fldChar w:fldCharType="begin"/>
      </w:r>
      <w:r w:rsidR="00D3437B">
        <w:instrText xml:space="preserve"> SEQ Table \* ARABIC </w:instrText>
      </w:r>
      <w:r w:rsidR="00D3437B">
        <w:fldChar w:fldCharType="separate"/>
      </w:r>
      <w:r w:rsidR="00875985">
        <w:rPr>
          <w:noProof/>
        </w:rPr>
        <w:t>9</w:t>
      </w:r>
      <w:r w:rsidR="00D3437B">
        <w:rPr>
          <w:noProof/>
        </w:rPr>
        <w:fldChar w:fldCharType="end"/>
      </w:r>
      <w:r>
        <w:t xml:space="preserve">: </w:t>
      </w:r>
      <w:r w:rsidRPr="000F2529">
        <w:rPr>
          <w:b w:val="0"/>
        </w:rPr>
        <w:t>Comparison of</w:t>
      </w:r>
      <w:r w:rsidR="00922501">
        <w:rPr>
          <w:b w:val="0"/>
        </w:rPr>
        <w:t xml:space="preserve"> known</w:t>
      </w:r>
      <w:r w:rsidRPr="000F2529">
        <w:rPr>
          <w:b w:val="0"/>
        </w:rPr>
        <w:t xml:space="preserve"> exhibition audiences, 2012/13 and 2013/14  </w:t>
      </w:r>
    </w:p>
    <w:tbl>
      <w:tblPr>
        <w:tblStyle w:val="RFOTableFormat"/>
        <w:tblW w:w="6936" w:type="dxa"/>
        <w:tblInd w:w="108" w:type="dxa"/>
        <w:tblLayout w:type="fixed"/>
        <w:tblLook w:val="04A0" w:firstRow="1" w:lastRow="0" w:firstColumn="1" w:lastColumn="0" w:noHBand="0" w:noVBand="1"/>
      </w:tblPr>
      <w:tblGrid>
        <w:gridCol w:w="1325"/>
        <w:gridCol w:w="1787"/>
        <w:gridCol w:w="1556"/>
        <w:gridCol w:w="2268"/>
      </w:tblGrid>
      <w:tr w:rsidR="005D3C62" w:rsidRPr="00E05782" w:rsidTr="006E35AC">
        <w:trPr>
          <w:cnfStyle w:val="100000000000" w:firstRow="1" w:lastRow="0" w:firstColumn="0" w:lastColumn="0" w:oddVBand="0" w:evenVBand="0" w:oddHBand="0" w:evenHBand="0" w:firstRowFirstColumn="0" w:firstRowLastColumn="0" w:lastRowFirstColumn="0" w:lastRowLastColumn="0"/>
          <w:trHeight w:val="600"/>
        </w:trPr>
        <w:tc>
          <w:tcPr>
            <w:tcW w:w="1325" w:type="dxa"/>
            <w:tcBorders>
              <w:right w:val="single" w:sz="4" w:space="0" w:color="auto"/>
            </w:tcBorders>
            <w:noWrap/>
            <w:hideMark/>
          </w:tcPr>
          <w:p w:rsidR="005D3C62" w:rsidRPr="00E05782" w:rsidRDefault="005D3C62" w:rsidP="00A93752">
            <w:pPr>
              <w:rPr>
                <w:rFonts w:ascii="Calibri" w:eastAsia="Times New Roman" w:hAnsi="Calibri" w:cs="Times New Roman"/>
                <w:color w:val="000000"/>
                <w:lang w:eastAsia="en-GB"/>
              </w:rPr>
            </w:pPr>
          </w:p>
        </w:tc>
        <w:tc>
          <w:tcPr>
            <w:tcW w:w="1787" w:type="dxa"/>
            <w:tcBorders>
              <w:left w:val="single" w:sz="4" w:space="0" w:color="auto"/>
            </w:tcBorders>
          </w:tcPr>
          <w:p w:rsidR="005D3C62" w:rsidRDefault="005D3C62" w:rsidP="00A93752">
            <w:pPr>
              <w:rPr>
                <w:rFonts w:ascii="Calibri" w:eastAsia="Times New Roman" w:hAnsi="Calibri" w:cs="Times New Roman"/>
                <w:color w:val="000000"/>
                <w:lang w:eastAsia="en-GB"/>
              </w:rPr>
            </w:pPr>
            <w:r>
              <w:rPr>
                <w:rFonts w:ascii="Calibri" w:eastAsia="Times New Roman" w:hAnsi="Calibri" w:cs="Times New Roman"/>
                <w:color w:val="000000"/>
                <w:lang w:eastAsia="en-GB"/>
              </w:rPr>
              <w:t>Number of exhibitions (for known audiences)</w:t>
            </w:r>
          </w:p>
        </w:tc>
        <w:tc>
          <w:tcPr>
            <w:tcW w:w="1556" w:type="dxa"/>
          </w:tcPr>
          <w:p w:rsidR="005D3C62" w:rsidRPr="00E05782" w:rsidRDefault="005D3C62" w:rsidP="0013239E">
            <w:pPr>
              <w:rPr>
                <w:rFonts w:ascii="Calibri" w:eastAsia="Times New Roman" w:hAnsi="Calibri" w:cs="Times New Roman"/>
                <w:color w:val="000000"/>
                <w:lang w:eastAsia="en-GB"/>
              </w:rPr>
            </w:pPr>
            <w:r>
              <w:rPr>
                <w:rFonts w:ascii="Calibri" w:eastAsia="Times New Roman" w:hAnsi="Calibri" w:cs="Times New Roman"/>
                <w:color w:val="000000"/>
                <w:lang w:eastAsia="en-GB"/>
              </w:rPr>
              <w:t>Known</w:t>
            </w:r>
            <w:r w:rsidRPr="00E05782">
              <w:rPr>
                <w:rFonts w:ascii="Calibri" w:eastAsia="Times New Roman" w:hAnsi="Calibri" w:cs="Times New Roman"/>
                <w:color w:val="000000"/>
                <w:lang w:eastAsia="en-GB"/>
              </w:rPr>
              <w:t xml:space="preserve"> audiences</w:t>
            </w:r>
          </w:p>
        </w:tc>
        <w:tc>
          <w:tcPr>
            <w:tcW w:w="2268" w:type="dxa"/>
          </w:tcPr>
          <w:p w:rsidR="005D3C62" w:rsidRDefault="005D3C62" w:rsidP="00A93752">
            <w:pPr>
              <w:rPr>
                <w:rFonts w:ascii="Calibri" w:eastAsia="Times New Roman" w:hAnsi="Calibri" w:cs="Times New Roman"/>
                <w:color w:val="000000"/>
                <w:lang w:eastAsia="en-GB"/>
              </w:rPr>
            </w:pPr>
            <w:r>
              <w:rPr>
                <w:rFonts w:ascii="Calibri" w:eastAsia="Times New Roman" w:hAnsi="Calibri" w:cs="Times New Roman"/>
                <w:color w:val="000000"/>
                <w:lang w:eastAsia="en-GB"/>
              </w:rPr>
              <w:t>Average audiences based on known audiences</w:t>
            </w:r>
          </w:p>
        </w:tc>
      </w:tr>
      <w:tr w:rsidR="005D3C62" w:rsidRPr="00E05782" w:rsidTr="006E35AC">
        <w:trPr>
          <w:trHeight w:val="300"/>
        </w:trPr>
        <w:tc>
          <w:tcPr>
            <w:tcW w:w="1325" w:type="dxa"/>
            <w:tcBorders>
              <w:right w:val="single" w:sz="4" w:space="0" w:color="auto"/>
            </w:tcBorders>
            <w:noWrap/>
            <w:hideMark/>
          </w:tcPr>
          <w:p w:rsidR="005D3C62" w:rsidRPr="00A93752" w:rsidRDefault="005D3C62" w:rsidP="00A93752">
            <w:pPr>
              <w:rPr>
                <w:rFonts w:ascii="Calibri" w:eastAsia="Times New Roman" w:hAnsi="Calibri" w:cs="Times New Roman"/>
                <w:color w:val="000000"/>
                <w:lang w:eastAsia="en-GB"/>
              </w:rPr>
            </w:pPr>
            <w:r w:rsidRPr="00A93752">
              <w:rPr>
                <w:rFonts w:ascii="Calibri" w:eastAsia="Times New Roman" w:hAnsi="Calibri" w:cs="Times New Roman"/>
                <w:color w:val="000000"/>
                <w:lang w:eastAsia="en-GB"/>
              </w:rPr>
              <w:t>2012/13</w:t>
            </w:r>
          </w:p>
        </w:tc>
        <w:tc>
          <w:tcPr>
            <w:tcW w:w="1787" w:type="dxa"/>
            <w:tcBorders>
              <w:left w:val="single" w:sz="4" w:space="0" w:color="auto"/>
            </w:tcBorders>
          </w:tcPr>
          <w:p w:rsidR="005D3C62" w:rsidRDefault="005D3C62" w:rsidP="00A93752">
            <w:pPr>
              <w:rPr>
                <w:rFonts w:ascii="Calibri" w:eastAsia="Times New Roman" w:hAnsi="Calibri" w:cs="Times New Roman"/>
                <w:color w:val="000000"/>
                <w:lang w:eastAsia="en-GB"/>
              </w:rPr>
            </w:pPr>
            <w:r>
              <w:rPr>
                <w:rFonts w:ascii="Calibri" w:eastAsia="Times New Roman" w:hAnsi="Calibri" w:cs="Times New Roman"/>
                <w:color w:val="000000"/>
                <w:lang w:eastAsia="en-GB"/>
              </w:rPr>
              <w:t>165</w:t>
            </w:r>
          </w:p>
        </w:tc>
        <w:tc>
          <w:tcPr>
            <w:tcW w:w="1556" w:type="dxa"/>
          </w:tcPr>
          <w:p w:rsidR="005D3C62" w:rsidRPr="00A93752" w:rsidRDefault="005D3C62" w:rsidP="0013239E">
            <w:pPr>
              <w:rPr>
                <w:rFonts w:ascii="Calibri" w:eastAsia="Times New Roman" w:hAnsi="Calibri" w:cs="Times New Roman"/>
                <w:color w:val="000000"/>
                <w:lang w:eastAsia="en-GB"/>
              </w:rPr>
            </w:pPr>
            <w:r>
              <w:rPr>
                <w:rFonts w:ascii="Calibri" w:eastAsia="Times New Roman" w:hAnsi="Calibri" w:cs="Times New Roman"/>
                <w:color w:val="000000"/>
                <w:lang w:eastAsia="en-GB"/>
              </w:rPr>
              <w:t>179,240</w:t>
            </w:r>
          </w:p>
        </w:tc>
        <w:tc>
          <w:tcPr>
            <w:tcW w:w="2268" w:type="dxa"/>
          </w:tcPr>
          <w:p w:rsidR="005D3C62" w:rsidRDefault="005D3C62" w:rsidP="00A93752">
            <w:pPr>
              <w:rPr>
                <w:rFonts w:ascii="Calibri" w:eastAsia="Times New Roman" w:hAnsi="Calibri" w:cs="Times New Roman"/>
                <w:color w:val="000000"/>
                <w:lang w:eastAsia="en-GB"/>
              </w:rPr>
            </w:pPr>
            <w:r>
              <w:rPr>
                <w:rFonts w:ascii="Calibri" w:eastAsia="Times New Roman" w:hAnsi="Calibri" w:cs="Times New Roman"/>
                <w:color w:val="000000"/>
                <w:lang w:eastAsia="en-GB"/>
              </w:rPr>
              <w:t>1,086</w:t>
            </w:r>
          </w:p>
        </w:tc>
      </w:tr>
      <w:tr w:rsidR="005D3C62" w:rsidRPr="00E05782" w:rsidTr="006E35AC">
        <w:trPr>
          <w:trHeight w:val="300"/>
        </w:trPr>
        <w:tc>
          <w:tcPr>
            <w:tcW w:w="1325" w:type="dxa"/>
            <w:tcBorders>
              <w:bottom w:val="single" w:sz="4" w:space="0" w:color="auto"/>
              <w:right w:val="single" w:sz="4" w:space="0" w:color="auto"/>
            </w:tcBorders>
            <w:noWrap/>
            <w:hideMark/>
          </w:tcPr>
          <w:p w:rsidR="005D3C62" w:rsidRPr="00E05782" w:rsidRDefault="005D3C62" w:rsidP="00A93752">
            <w:pPr>
              <w:rPr>
                <w:rFonts w:ascii="Calibri" w:eastAsia="Times New Roman" w:hAnsi="Calibri" w:cs="Times New Roman"/>
                <w:color w:val="000000"/>
                <w:lang w:eastAsia="en-GB"/>
              </w:rPr>
            </w:pPr>
            <w:r w:rsidRPr="00E05782">
              <w:rPr>
                <w:rFonts w:ascii="Calibri" w:eastAsia="Times New Roman" w:hAnsi="Calibri" w:cs="Times New Roman"/>
                <w:color w:val="000000"/>
                <w:lang w:eastAsia="en-GB"/>
              </w:rPr>
              <w:t>2013/14</w:t>
            </w:r>
          </w:p>
        </w:tc>
        <w:tc>
          <w:tcPr>
            <w:tcW w:w="1787" w:type="dxa"/>
            <w:tcBorders>
              <w:left w:val="single" w:sz="4" w:space="0" w:color="auto"/>
              <w:bottom w:val="single" w:sz="4" w:space="0" w:color="auto"/>
            </w:tcBorders>
          </w:tcPr>
          <w:p w:rsidR="005D3C62" w:rsidRDefault="005D3C62" w:rsidP="00A93752">
            <w:pPr>
              <w:rPr>
                <w:rFonts w:ascii="Calibri" w:eastAsia="Times New Roman" w:hAnsi="Calibri" w:cs="Times New Roman"/>
                <w:color w:val="000000"/>
                <w:lang w:eastAsia="en-GB"/>
              </w:rPr>
            </w:pPr>
            <w:r>
              <w:rPr>
                <w:rFonts w:ascii="Calibri" w:eastAsia="Times New Roman" w:hAnsi="Calibri" w:cs="Times New Roman"/>
                <w:color w:val="000000"/>
                <w:lang w:eastAsia="en-GB"/>
              </w:rPr>
              <w:t>188</w:t>
            </w:r>
          </w:p>
        </w:tc>
        <w:tc>
          <w:tcPr>
            <w:tcW w:w="1556" w:type="dxa"/>
            <w:tcBorders>
              <w:bottom w:val="single" w:sz="4" w:space="0" w:color="auto"/>
            </w:tcBorders>
          </w:tcPr>
          <w:p w:rsidR="005D3C62" w:rsidRPr="00E05782" w:rsidRDefault="005D3C62" w:rsidP="0013239E">
            <w:pPr>
              <w:rPr>
                <w:rFonts w:ascii="Calibri" w:eastAsia="Times New Roman" w:hAnsi="Calibri" w:cs="Times New Roman"/>
                <w:color w:val="000000"/>
                <w:lang w:eastAsia="en-GB"/>
              </w:rPr>
            </w:pPr>
            <w:r>
              <w:rPr>
                <w:rFonts w:ascii="Calibri" w:eastAsia="Times New Roman" w:hAnsi="Calibri" w:cs="Times New Roman"/>
                <w:color w:val="000000"/>
                <w:lang w:eastAsia="en-GB"/>
              </w:rPr>
              <w:t>183,939</w:t>
            </w:r>
          </w:p>
        </w:tc>
        <w:tc>
          <w:tcPr>
            <w:tcW w:w="2268" w:type="dxa"/>
            <w:tcBorders>
              <w:bottom w:val="single" w:sz="4" w:space="0" w:color="auto"/>
            </w:tcBorders>
          </w:tcPr>
          <w:p w:rsidR="005D3C62" w:rsidRDefault="005D3C62" w:rsidP="00A93752">
            <w:pPr>
              <w:rPr>
                <w:rFonts w:ascii="Calibri" w:eastAsia="Times New Roman" w:hAnsi="Calibri" w:cs="Times New Roman"/>
                <w:color w:val="000000"/>
                <w:lang w:eastAsia="en-GB"/>
              </w:rPr>
            </w:pPr>
            <w:r>
              <w:rPr>
                <w:rFonts w:ascii="Calibri" w:eastAsia="Times New Roman" w:hAnsi="Calibri" w:cs="Times New Roman"/>
                <w:color w:val="000000"/>
                <w:lang w:eastAsia="en-GB"/>
              </w:rPr>
              <w:t>978</w:t>
            </w:r>
          </w:p>
        </w:tc>
      </w:tr>
    </w:tbl>
    <w:p w:rsidR="00896A1A" w:rsidRDefault="00896A1A" w:rsidP="00094281">
      <w:pPr>
        <w:rPr>
          <w:bCs/>
        </w:rPr>
      </w:pPr>
    </w:p>
    <w:p w:rsidR="00922501" w:rsidRDefault="00922501" w:rsidP="008A18C0">
      <w:pPr>
        <w:rPr>
          <w:bCs/>
        </w:rPr>
      </w:pPr>
      <w:r>
        <w:rPr>
          <w:bCs/>
        </w:rPr>
        <w:t xml:space="preserve">Table 9 shows a comparison of </w:t>
      </w:r>
      <w:r w:rsidR="003B420B">
        <w:rPr>
          <w:bCs/>
        </w:rPr>
        <w:t>known</w:t>
      </w:r>
      <w:r>
        <w:rPr>
          <w:bCs/>
        </w:rPr>
        <w:t xml:space="preserve"> audience</w:t>
      </w:r>
      <w:r w:rsidR="003B420B">
        <w:rPr>
          <w:bCs/>
        </w:rPr>
        <w:t xml:space="preserve">s between 2012/13 and 2013/14.  In 2013/14, nearly 184,000 people were known to have attended 188 exhibitions.  This represented an average audience of 978 per exhibition, slightly lower than the equivalent for the previous year. </w:t>
      </w:r>
    </w:p>
    <w:p w:rsidR="00922501" w:rsidRDefault="00922501" w:rsidP="008A18C0">
      <w:pPr>
        <w:rPr>
          <w:bCs/>
        </w:rPr>
      </w:pPr>
    </w:p>
    <w:p w:rsidR="00491BF2" w:rsidRDefault="009E0FB8" w:rsidP="008A18C0">
      <w:pPr>
        <w:rPr>
          <w:bCs/>
        </w:rPr>
      </w:pPr>
      <w:r>
        <w:rPr>
          <w:bCs/>
        </w:rPr>
        <w:t>The inclusion of estimated attendance for 2013/14, inflates engagement to 643,265.  These attenders visited 445 exhibitions.  This represents a reduction of 150,047 visits</w:t>
      </w:r>
      <w:r w:rsidR="002B34E5">
        <w:rPr>
          <w:bCs/>
        </w:rPr>
        <w:t xml:space="preserve"> compared to the previous year</w:t>
      </w:r>
      <w:r>
        <w:rPr>
          <w:bCs/>
        </w:rPr>
        <w:t>, although the degree of confidence that can be placed in these figures is more limited.</w:t>
      </w:r>
      <w:r w:rsidR="00AD73B3">
        <w:rPr>
          <w:bCs/>
        </w:rPr>
        <w:t xml:space="preserve">  </w:t>
      </w:r>
      <w:r w:rsidR="00B07FE5">
        <w:rPr>
          <w:bCs/>
        </w:rPr>
        <w:t xml:space="preserve">Ninety nine </w:t>
      </w:r>
      <w:r w:rsidR="00466286">
        <w:rPr>
          <w:bCs/>
        </w:rPr>
        <w:t xml:space="preserve">percent of exhibitions presented in 2013/14 were free of charge at the point of entry. </w:t>
      </w:r>
    </w:p>
    <w:p w:rsidR="00491BF2" w:rsidRDefault="00491BF2" w:rsidP="008A18C0">
      <w:pPr>
        <w:rPr>
          <w:bCs/>
        </w:rPr>
      </w:pPr>
    </w:p>
    <w:p w:rsidR="00B720E1" w:rsidRDefault="00AD73B3" w:rsidP="008A18C0">
      <w:pPr>
        <w:rPr>
          <w:bCs/>
        </w:rPr>
      </w:pPr>
      <w:r>
        <w:rPr>
          <w:bCs/>
        </w:rPr>
        <w:t>Seventy percent of exhibitions in 2013/14 were produced by single organisations.  Twenty seven percent were produced in partnership with other organisations, with the remaining 2 percent comprising exhibitions toured</w:t>
      </w:r>
      <w:r w:rsidR="00D57E08">
        <w:rPr>
          <w:bCs/>
        </w:rPr>
        <w:t xml:space="preserve"> from outside Northern Ireland.  </w:t>
      </w:r>
    </w:p>
    <w:p w:rsidR="00B720E1" w:rsidRDefault="00B720E1" w:rsidP="008A18C0">
      <w:pPr>
        <w:rPr>
          <w:bCs/>
        </w:rPr>
      </w:pPr>
    </w:p>
    <w:p w:rsidR="00491BF2" w:rsidRDefault="00D424DE" w:rsidP="008A18C0">
      <w:pPr>
        <w:rPr>
          <w:bCs/>
        </w:rPr>
      </w:pPr>
      <w:r>
        <w:rPr>
          <w:bCs/>
        </w:rPr>
        <w:t>Figure 1</w:t>
      </w:r>
      <w:r w:rsidR="00F06F9E">
        <w:rPr>
          <w:bCs/>
        </w:rPr>
        <w:t>4</w:t>
      </w:r>
      <w:r w:rsidR="00AD73B3">
        <w:rPr>
          <w:bCs/>
        </w:rPr>
        <w:t xml:space="preserve"> shows a breakdown of exhibition audiences by artform area.  </w:t>
      </w:r>
      <w:r w:rsidR="00D57E08">
        <w:rPr>
          <w:bCs/>
        </w:rPr>
        <w:t xml:space="preserve">Combined Arts and Visual Arts shared the highest audiences, comprising 90 percent of total audiences.  </w:t>
      </w:r>
    </w:p>
    <w:p w:rsidR="00B720E1" w:rsidRDefault="00B720E1" w:rsidP="000F2529">
      <w:pPr>
        <w:pStyle w:val="Caption"/>
        <w:rPr>
          <w:b w:val="0"/>
          <w:color w:val="auto"/>
          <w:sz w:val="22"/>
          <w:szCs w:val="22"/>
        </w:rPr>
      </w:pPr>
      <w:bookmarkStart w:id="31" w:name="_Toc402964770"/>
    </w:p>
    <w:p w:rsidR="00B720E1" w:rsidRDefault="00B720E1" w:rsidP="000F2529">
      <w:pPr>
        <w:pStyle w:val="Caption"/>
        <w:rPr>
          <w:b w:val="0"/>
          <w:color w:val="auto"/>
          <w:sz w:val="22"/>
          <w:szCs w:val="22"/>
        </w:rPr>
      </w:pPr>
    </w:p>
    <w:p w:rsidR="00B720E1" w:rsidRDefault="00B720E1" w:rsidP="000F2529">
      <w:pPr>
        <w:pStyle w:val="Caption"/>
        <w:rPr>
          <w:b w:val="0"/>
          <w:color w:val="auto"/>
          <w:sz w:val="22"/>
          <w:szCs w:val="22"/>
        </w:rPr>
      </w:pPr>
    </w:p>
    <w:p w:rsidR="00B720E1" w:rsidRDefault="00B720E1" w:rsidP="000F2529">
      <w:pPr>
        <w:pStyle w:val="Caption"/>
        <w:rPr>
          <w:b w:val="0"/>
          <w:color w:val="auto"/>
          <w:sz w:val="22"/>
          <w:szCs w:val="22"/>
        </w:rPr>
      </w:pPr>
    </w:p>
    <w:p w:rsidR="00B720E1" w:rsidRDefault="00B720E1" w:rsidP="000F2529">
      <w:pPr>
        <w:pStyle w:val="Caption"/>
        <w:rPr>
          <w:b w:val="0"/>
          <w:color w:val="auto"/>
          <w:sz w:val="22"/>
          <w:szCs w:val="22"/>
        </w:rPr>
      </w:pPr>
    </w:p>
    <w:p w:rsidR="00B720E1" w:rsidRDefault="00B720E1" w:rsidP="000F2529">
      <w:pPr>
        <w:pStyle w:val="Caption"/>
        <w:rPr>
          <w:b w:val="0"/>
          <w:color w:val="auto"/>
          <w:sz w:val="22"/>
          <w:szCs w:val="22"/>
        </w:rPr>
      </w:pPr>
    </w:p>
    <w:p w:rsidR="009257DB" w:rsidRPr="009257DB" w:rsidRDefault="009257DB" w:rsidP="009257DB"/>
    <w:p w:rsidR="00491BF2" w:rsidRPr="000F2529" w:rsidRDefault="000F2529" w:rsidP="000F2529">
      <w:pPr>
        <w:pStyle w:val="Caption"/>
        <w:rPr>
          <w:b w:val="0"/>
          <w:bCs w:val="0"/>
        </w:rPr>
      </w:pPr>
      <w:r>
        <w:t xml:space="preserve">Figure </w:t>
      </w:r>
      <w:r w:rsidR="00D3437B">
        <w:fldChar w:fldCharType="begin"/>
      </w:r>
      <w:r w:rsidR="00D3437B">
        <w:instrText xml:space="preserve"> SEQ Figure \* ARABIC </w:instrText>
      </w:r>
      <w:r w:rsidR="00D3437B">
        <w:fldChar w:fldCharType="separate"/>
      </w:r>
      <w:r w:rsidR="00875985">
        <w:rPr>
          <w:noProof/>
        </w:rPr>
        <w:t>14</w:t>
      </w:r>
      <w:r w:rsidR="00D3437B">
        <w:rPr>
          <w:noProof/>
        </w:rPr>
        <w:fldChar w:fldCharType="end"/>
      </w:r>
      <w:r>
        <w:t xml:space="preserve">: </w:t>
      </w:r>
      <w:r w:rsidR="00491BF2" w:rsidRPr="000F2529">
        <w:rPr>
          <w:b w:val="0"/>
          <w:bCs w:val="0"/>
        </w:rPr>
        <w:t>Breakdown of attendance a</w:t>
      </w:r>
      <w:r w:rsidR="00AD73B3" w:rsidRPr="000F2529">
        <w:rPr>
          <w:b w:val="0"/>
          <w:bCs w:val="0"/>
        </w:rPr>
        <w:t>t exhibitions (known and estimated),</w:t>
      </w:r>
      <w:r w:rsidR="00491BF2" w:rsidRPr="000F2529">
        <w:rPr>
          <w:b w:val="0"/>
          <w:bCs w:val="0"/>
        </w:rPr>
        <w:t xml:space="preserve"> 2012/13 (N=445)</w:t>
      </w:r>
      <w:bookmarkEnd w:id="31"/>
    </w:p>
    <w:p w:rsidR="00B720E1" w:rsidRDefault="00491BF2" w:rsidP="00094281">
      <w:pPr>
        <w:rPr>
          <w:bCs/>
        </w:rPr>
      </w:pPr>
      <w:r>
        <w:rPr>
          <w:noProof/>
          <w:lang w:eastAsia="en-GB"/>
        </w:rPr>
        <w:drawing>
          <wp:inline distT="0" distB="0" distL="0" distR="0" wp14:anchorId="1B784694" wp14:editId="7038529C">
            <wp:extent cx="5390707" cy="3019647"/>
            <wp:effectExtent l="0" t="0" r="19685" b="952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93752" w:rsidRPr="00F06F9E" w:rsidRDefault="00D57E08" w:rsidP="00094281">
      <w:pPr>
        <w:rPr>
          <w:bCs/>
          <w:sz w:val="20"/>
          <w:szCs w:val="20"/>
        </w:rPr>
      </w:pPr>
      <w:r w:rsidRPr="00F06F9E">
        <w:rPr>
          <w:bCs/>
          <w:sz w:val="20"/>
          <w:szCs w:val="20"/>
        </w:rPr>
        <w:t>Others</w:t>
      </w:r>
      <w:r w:rsidR="00F06F9E">
        <w:rPr>
          <w:bCs/>
          <w:sz w:val="20"/>
          <w:szCs w:val="20"/>
        </w:rPr>
        <w:t xml:space="preserve"> relate to</w:t>
      </w:r>
      <w:r w:rsidRPr="00F06F9E">
        <w:rPr>
          <w:bCs/>
          <w:sz w:val="20"/>
          <w:szCs w:val="20"/>
        </w:rPr>
        <w:t>: music, drama, traditional arts and dance</w:t>
      </w:r>
    </w:p>
    <w:p w:rsidR="00A93752" w:rsidRDefault="00A93752" w:rsidP="00094281">
      <w:pPr>
        <w:rPr>
          <w:bCs/>
        </w:rPr>
      </w:pPr>
    </w:p>
    <w:p w:rsidR="002D0B12" w:rsidRDefault="002D0B12" w:rsidP="002D0B12"/>
    <w:p w:rsidR="00303ACB" w:rsidRDefault="00303ACB" w:rsidP="002D0B12">
      <w:pPr>
        <w:rPr>
          <w:b/>
        </w:rPr>
      </w:pPr>
    </w:p>
    <w:p w:rsidR="00016598" w:rsidRDefault="00016598">
      <w:pPr>
        <w:spacing w:after="200"/>
        <w:rPr>
          <w:b/>
        </w:rPr>
      </w:pPr>
      <w:r>
        <w:rPr>
          <w:b/>
        </w:rPr>
        <w:br w:type="page"/>
      </w:r>
    </w:p>
    <w:p w:rsidR="00016598" w:rsidRPr="009971C8" w:rsidRDefault="00016598" w:rsidP="00016598">
      <w:pPr>
        <w:pStyle w:val="Heading1"/>
      </w:pPr>
      <w:bookmarkStart w:id="32" w:name="_Toc403986357"/>
      <w:r w:rsidRPr="009971C8">
        <w:lastRenderedPageBreak/>
        <w:t>Resource Organisations</w:t>
      </w:r>
      <w:bookmarkEnd w:id="32"/>
    </w:p>
    <w:p w:rsidR="00A67BBA" w:rsidRDefault="00016598" w:rsidP="00016598">
      <w:pPr>
        <w:rPr>
          <w:rFonts w:cs="Arial"/>
          <w:noProof/>
        </w:rPr>
      </w:pPr>
      <w:r>
        <w:rPr>
          <w:rFonts w:cs="Arial"/>
          <w:noProof/>
        </w:rPr>
        <w:t>In 2013/14, the Arts Council supported 1</w:t>
      </w:r>
      <w:r w:rsidR="00C37706">
        <w:rPr>
          <w:rFonts w:cs="Arial"/>
          <w:noProof/>
        </w:rPr>
        <w:t>0</w:t>
      </w:r>
      <w:r>
        <w:rPr>
          <w:rFonts w:cs="Arial"/>
          <w:noProof/>
        </w:rPr>
        <w:t xml:space="preserve"> organisations to</w:t>
      </w:r>
      <w:r w:rsidR="00B12992">
        <w:rPr>
          <w:rFonts w:cs="Arial"/>
          <w:noProof/>
        </w:rPr>
        <w:t xml:space="preserve"> provide</w:t>
      </w:r>
      <w:r>
        <w:rPr>
          <w:rFonts w:cs="Arial"/>
          <w:noProof/>
        </w:rPr>
        <w:t xml:space="preserve"> dedicated</w:t>
      </w:r>
      <w:r w:rsidR="00B12992">
        <w:rPr>
          <w:rFonts w:cs="Arial"/>
          <w:noProof/>
        </w:rPr>
        <w:t xml:space="preserve"> advice and support services to arts organisation and individual artist</w:t>
      </w:r>
      <w:r w:rsidR="00C37706">
        <w:rPr>
          <w:rFonts w:cs="Arial"/>
          <w:noProof/>
        </w:rPr>
        <w:t xml:space="preserve">s.  </w:t>
      </w:r>
    </w:p>
    <w:p w:rsidR="00A67BBA" w:rsidRDefault="00A67BBA" w:rsidP="00016598">
      <w:pPr>
        <w:rPr>
          <w:rFonts w:cs="Arial"/>
          <w:noProof/>
        </w:rPr>
      </w:pPr>
    </w:p>
    <w:p w:rsidR="00B12992" w:rsidRDefault="00C37706" w:rsidP="00016598">
      <w:pPr>
        <w:rPr>
          <w:rFonts w:cs="Arial"/>
          <w:noProof/>
        </w:rPr>
      </w:pPr>
      <w:r>
        <w:rPr>
          <w:rFonts w:cs="Arial"/>
          <w:noProof/>
        </w:rPr>
        <w:t>These organisations offer a dynamic</w:t>
      </w:r>
      <w:r w:rsidR="003A0124">
        <w:rPr>
          <w:rFonts w:cs="Arial"/>
          <w:noProof/>
        </w:rPr>
        <w:t xml:space="preserve"> </w:t>
      </w:r>
      <w:r w:rsidR="00B12992">
        <w:rPr>
          <w:rFonts w:cs="Arial"/>
          <w:noProof/>
        </w:rPr>
        <w:t xml:space="preserve">mix of </w:t>
      </w:r>
      <w:r w:rsidR="003A0124">
        <w:rPr>
          <w:rFonts w:cs="Arial"/>
          <w:noProof/>
        </w:rPr>
        <w:t xml:space="preserve">sector development and career </w:t>
      </w:r>
      <w:r w:rsidR="00ED7A28">
        <w:rPr>
          <w:rFonts w:cs="Arial"/>
          <w:noProof/>
        </w:rPr>
        <w:t>enhancement supports tailored for</w:t>
      </w:r>
      <w:r w:rsidR="003A0124">
        <w:rPr>
          <w:rFonts w:cs="Arial"/>
          <w:noProof/>
        </w:rPr>
        <w:t xml:space="preserve"> the sector they work in.  These supports can be reduced down to a core set of activities, the quant</w:t>
      </w:r>
      <w:r w:rsidR="00D424DE">
        <w:rPr>
          <w:rFonts w:cs="Arial"/>
          <w:noProof/>
        </w:rPr>
        <w:t xml:space="preserve">um of which </w:t>
      </w:r>
      <w:r w:rsidR="00B07FE5">
        <w:rPr>
          <w:rFonts w:cs="Arial"/>
          <w:noProof/>
        </w:rPr>
        <w:t xml:space="preserve">is </w:t>
      </w:r>
      <w:r w:rsidR="00D424DE">
        <w:rPr>
          <w:rFonts w:cs="Arial"/>
          <w:noProof/>
        </w:rPr>
        <w:t>shown in Table 10</w:t>
      </w:r>
      <w:r w:rsidR="00ED7A28">
        <w:rPr>
          <w:rFonts w:cs="Arial"/>
          <w:noProof/>
        </w:rPr>
        <w:t>.</w:t>
      </w:r>
    </w:p>
    <w:p w:rsidR="003A0124" w:rsidRDefault="003A0124" w:rsidP="00016598">
      <w:pPr>
        <w:rPr>
          <w:rFonts w:cs="Arial"/>
          <w:noProof/>
        </w:rPr>
      </w:pPr>
    </w:p>
    <w:p w:rsidR="00ED7A28" w:rsidRPr="000F2529" w:rsidRDefault="000F2529" w:rsidP="000F2529">
      <w:pPr>
        <w:pStyle w:val="Caption"/>
        <w:rPr>
          <w:rFonts w:cs="Arial"/>
          <w:b w:val="0"/>
          <w:noProof/>
        </w:rPr>
      </w:pPr>
      <w:r>
        <w:t xml:space="preserve">Table </w:t>
      </w:r>
      <w:r w:rsidR="00D3437B">
        <w:fldChar w:fldCharType="begin"/>
      </w:r>
      <w:r w:rsidR="00D3437B">
        <w:instrText xml:space="preserve"> SEQ Table \* ARABIC </w:instrText>
      </w:r>
      <w:r w:rsidR="00D3437B">
        <w:fldChar w:fldCharType="separate"/>
      </w:r>
      <w:r w:rsidR="00875985">
        <w:rPr>
          <w:noProof/>
        </w:rPr>
        <w:t>10</w:t>
      </w:r>
      <w:r w:rsidR="00D3437B">
        <w:rPr>
          <w:noProof/>
        </w:rPr>
        <w:fldChar w:fldCharType="end"/>
      </w:r>
      <w:r>
        <w:t xml:space="preserve">: </w:t>
      </w:r>
      <w:r w:rsidR="00ED7A28" w:rsidRPr="000F2529">
        <w:rPr>
          <w:rFonts w:cs="Arial"/>
          <w:b w:val="0"/>
          <w:noProof/>
        </w:rPr>
        <w:t>Summary of supports provided by Resource Organisations, 2012/13</w:t>
      </w:r>
    </w:p>
    <w:tbl>
      <w:tblPr>
        <w:tblStyle w:val="RFOTableFormat"/>
        <w:tblW w:w="5954" w:type="dxa"/>
        <w:tblInd w:w="108" w:type="dxa"/>
        <w:tblLook w:val="04A0" w:firstRow="1" w:lastRow="0" w:firstColumn="1" w:lastColumn="0" w:noHBand="0" w:noVBand="1"/>
      </w:tblPr>
      <w:tblGrid>
        <w:gridCol w:w="4564"/>
        <w:gridCol w:w="1390"/>
      </w:tblGrid>
      <w:tr w:rsidR="00ED7A28" w:rsidRPr="00ED7A28" w:rsidTr="00A41E72">
        <w:trPr>
          <w:cnfStyle w:val="100000000000" w:firstRow="1" w:lastRow="0" w:firstColumn="0" w:lastColumn="0" w:oddVBand="0" w:evenVBand="0" w:oddHBand="0" w:evenHBand="0" w:firstRowFirstColumn="0" w:firstRowLastColumn="0" w:lastRowFirstColumn="0" w:lastRowLastColumn="0"/>
          <w:trHeight w:val="315"/>
        </w:trPr>
        <w:tc>
          <w:tcPr>
            <w:tcW w:w="4564" w:type="dxa"/>
            <w:tcBorders>
              <w:right w:val="single" w:sz="4" w:space="0" w:color="auto"/>
            </w:tcBorders>
            <w:hideMark/>
          </w:tcPr>
          <w:p w:rsidR="00ED7A28" w:rsidRPr="00ED7A28" w:rsidRDefault="00F06F9E" w:rsidP="00ED7A28">
            <w:pPr>
              <w:spacing w:line="276" w:lineRule="auto"/>
              <w:rPr>
                <w:rFonts w:cs="Arial"/>
                <w:bCs/>
                <w:noProof/>
              </w:rPr>
            </w:pPr>
            <w:r>
              <w:rPr>
                <w:rFonts w:cs="Arial"/>
                <w:bCs/>
                <w:noProof/>
              </w:rPr>
              <w:t>Activity</w:t>
            </w:r>
          </w:p>
        </w:tc>
        <w:tc>
          <w:tcPr>
            <w:tcW w:w="1390" w:type="dxa"/>
            <w:tcBorders>
              <w:left w:val="single" w:sz="4" w:space="0" w:color="auto"/>
            </w:tcBorders>
            <w:noWrap/>
            <w:hideMark/>
          </w:tcPr>
          <w:p w:rsidR="00ED7A28" w:rsidRPr="00A41E72" w:rsidRDefault="00ED7A28" w:rsidP="00ED7A28">
            <w:pPr>
              <w:spacing w:line="276" w:lineRule="auto"/>
              <w:rPr>
                <w:rFonts w:cs="Arial"/>
                <w:noProof/>
              </w:rPr>
            </w:pPr>
            <w:r w:rsidRPr="00A41E72">
              <w:rPr>
                <w:rFonts w:cs="Arial"/>
                <w:noProof/>
              </w:rPr>
              <w:t>Total</w:t>
            </w:r>
          </w:p>
        </w:tc>
      </w:tr>
      <w:tr w:rsidR="00ED7A28" w:rsidRPr="00ED7A28" w:rsidTr="00A41E72">
        <w:trPr>
          <w:trHeight w:val="300"/>
        </w:trPr>
        <w:tc>
          <w:tcPr>
            <w:tcW w:w="4564" w:type="dxa"/>
            <w:tcBorders>
              <w:right w:val="single" w:sz="4" w:space="0" w:color="auto"/>
            </w:tcBorders>
            <w:hideMark/>
          </w:tcPr>
          <w:p w:rsidR="00ED7A28" w:rsidRPr="00ED7A28" w:rsidRDefault="00ED7A28" w:rsidP="00ED7A28">
            <w:pPr>
              <w:spacing w:line="276" w:lineRule="auto"/>
              <w:rPr>
                <w:rFonts w:cs="Arial"/>
                <w:bCs/>
                <w:noProof/>
              </w:rPr>
            </w:pPr>
            <w:r w:rsidRPr="00ED7A28">
              <w:rPr>
                <w:rFonts w:cs="Arial"/>
                <w:bCs/>
                <w:noProof/>
              </w:rPr>
              <w:t>Bursaries</w:t>
            </w:r>
          </w:p>
        </w:tc>
        <w:tc>
          <w:tcPr>
            <w:tcW w:w="1390" w:type="dxa"/>
            <w:tcBorders>
              <w:left w:val="single" w:sz="4" w:space="0" w:color="auto"/>
            </w:tcBorders>
            <w:noWrap/>
            <w:hideMark/>
          </w:tcPr>
          <w:p w:rsidR="00ED7A28" w:rsidRPr="00ED7A28" w:rsidRDefault="003D0648" w:rsidP="00ED7A28">
            <w:pPr>
              <w:spacing w:line="276" w:lineRule="auto"/>
              <w:rPr>
                <w:rFonts w:cs="Arial"/>
                <w:noProof/>
              </w:rPr>
            </w:pPr>
            <w:r>
              <w:rPr>
                <w:rFonts w:cs="Arial"/>
                <w:noProof/>
              </w:rPr>
              <w:t>18</w:t>
            </w:r>
          </w:p>
        </w:tc>
      </w:tr>
      <w:tr w:rsidR="00ED7A28" w:rsidRPr="00ED7A28" w:rsidTr="00A41E72">
        <w:trPr>
          <w:trHeight w:val="300"/>
        </w:trPr>
        <w:tc>
          <w:tcPr>
            <w:tcW w:w="4564" w:type="dxa"/>
            <w:tcBorders>
              <w:right w:val="single" w:sz="4" w:space="0" w:color="auto"/>
            </w:tcBorders>
            <w:hideMark/>
          </w:tcPr>
          <w:p w:rsidR="00ED7A28" w:rsidRPr="00ED7A28" w:rsidRDefault="00ED7A28" w:rsidP="00ED7A28">
            <w:pPr>
              <w:spacing w:line="276" w:lineRule="auto"/>
              <w:rPr>
                <w:rFonts w:cs="Arial"/>
                <w:bCs/>
                <w:noProof/>
              </w:rPr>
            </w:pPr>
            <w:r w:rsidRPr="00ED7A28">
              <w:rPr>
                <w:rFonts w:cs="Arial"/>
                <w:bCs/>
                <w:noProof/>
              </w:rPr>
              <w:t>Newsletter</w:t>
            </w:r>
            <w:r w:rsidR="00EB556C">
              <w:rPr>
                <w:rFonts w:cs="Arial"/>
                <w:bCs/>
                <w:noProof/>
              </w:rPr>
              <w:t xml:space="preserve"> distributed (electronic and hard-copy)</w:t>
            </w:r>
          </w:p>
        </w:tc>
        <w:tc>
          <w:tcPr>
            <w:tcW w:w="1390" w:type="dxa"/>
            <w:tcBorders>
              <w:left w:val="single" w:sz="4" w:space="0" w:color="auto"/>
            </w:tcBorders>
            <w:noWrap/>
            <w:hideMark/>
          </w:tcPr>
          <w:p w:rsidR="00ED7A28" w:rsidRPr="00ED7A28" w:rsidRDefault="005A0852" w:rsidP="00ED7A28">
            <w:pPr>
              <w:spacing w:line="276" w:lineRule="auto"/>
              <w:rPr>
                <w:rFonts w:cs="Arial"/>
                <w:noProof/>
              </w:rPr>
            </w:pPr>
            <w:r>
              <w:rPr>
                <w:rFonts w:cs="Arial"/>
                <w:noProof/>
              </w:rPr>
              <w:t>101,</w:t>
            </w:r>
            <w:r w:rsidR="003D0648">
              <w:rPr>
                <w:rFonts w:cs="Arial"/>
                <w:noProof/>
              </w:rPr>
              <w:t>453</w:t>
            </w:r>
          </w:p>
        </w:tc>
      </w:tr>
      <w:tr w:rsidR="00ED7A28" w:rsidRPr="00ED7A28" w:rsidTr="00A41E72">
        <w:trPr>
          <w:trHeight w:val="300"/>
        </w:trPr>
        <w:tc>
          <w:tcPr>
            <w:tcW w:w="4564" w:type="dxa"/>
            <w:tcBorders>
              <w:right w:val="single" w:sz="4" w:space="0" w:color="auto"/>
            </w:tcBorders>
            <w:hideMark/>
          </w:tcPr>
          <w:p w:rsidR="00ED7A28" w:rsidRPr="00ED7A28" w:rsidRDefault="00ED7A28" w:rsidP="00ED7A28">
            <w:pPr>
              <w:spacing w:line="276" w:lineRule="auto"/>
              <w:rPr>
                <w:rFonts w:cs="Arial"/>
                <w:bCs/>
                <w:noProof/>
              </w:rPr>
            </w:pPr>
            <w:r w:rsidRPr="00ED7A28">
              <w:rPr>
                <w:rFonts w:cs="Arial"/>
                <w:bCs/>
                <w:noProof/>
              </w:rPr>
              <w:t>Enquiries dealt with</w:t>
            </w:r>
          </w:p>
        </w:tc>
        <w:tc>
          <w:tcPr>
            <w:tcW w:w="1390" w:type="dxa"/>
            <w:tcBorders>
              <w:left w:val="single" w:sz="4" w:space="0" w:color="auto"/>
            </w:tcBorders>
            <w:noWrap/>
            <w:hideMark/>
          </w:tcPr>
          <w:p w:rsidR="00ED7A28" w:rsidRPr="00ED7A28" w:rsidRDefault="003D0648" w:rsidP="00ED7A28">
            <w:pPr>
              <w:spacing w:line="276" w:lineRule="auto"/>
              <w:rPr>
                <w:rFonts w:cs="Arial"/>
                <w:noProof/>
              </w:rPr>
            </w:pPr>
            <w:r>
              <w:rPr>
                <w:rFonts w:cs="Arial"/>
                <w:noProof/>
              </w:rPr>
              <w:t>14,673</w:t>
            </w:r>
          </w:p>
        </w:tc>
      </w:tr>
      <w:tr w:rsidR="00ED7A28" w:rsidRPr="00ED7A28" w:rsidTr="00A41E72">
        <w:trPr>
          <w:trHeight w:val="300"/>
        </w:trPr>
        <w:tc>
          <w:tcPr>
            <w:tcW w:w="4564" w:type="dxa"/>
            <w:tcBorders>
              <w:right w:val="single" w:sz="4" w:space="0" w:color="auto"/>
            </w:tcBorders>
            <w:hideMark/>
          </w:tcPr>
          <w:p w:rsidR="00ED7A28" w:rsidRPr="00ED7A28" w:rsidRDefault="00ED7A28" w:rsidP="00ED7A28">
            <w:pPr>
              <w:spacing w:line="276" w:lineRule="auto"/>
              <w:rPr>
                <w:rFonts w:cs="Arial"/>
                <w:bCs/>
                <w:noProof/>
              </w:rPr>
            </w:pPr>
            <w:r w:rsidRPr="00ED7A28">
              <w:rPr>
                <w:rFonts w:cs="Arial"/>
                <w:bCs/>
                <w:noProof/>
              </w:rPr>
              <w:t>Number of artists supported</w:t>
            </w:r>
          </w:p>
        </w:tc>
        <w:tc>
          <w:tcPr>
            <w:tcW w:w="1390" w:type="dxa"/>
            <w:tcBorders>
              <w:left w:val="single" w:sz="4" w:space="0" w:color="auto"/>
            </w:tcBorders>
            <w:noWrap/>
            <w:hideMark/>
          </w:tcPr>
          <w:p w:rsidR="00ED7A28" w:rsidRPr="00ED7A28" w:rsidRDefault="003D0648" w:rsidP="00ED7A28">
            <w:pPr>
              <w:spacing w:line="276" w:lineRule="auto"/>
              <w:rPr>
                <w:rFonts w:cs="Arial"/>
                <w:noProof/>
              </w:rPr>
            </w:pPr>
            <w:r>
              <w:rPr>
                <w:rFonts w:cs="Arial"/>
                <w:noProof/>
              </w:rPr>
              <w:t>2,203</w:t>
            </w:r>
          </w:p>
        </w:tc>
      </w:tr>
      <w:tr w:rsidR="005A0852" w:rsidRPr="00ED7A28" w:rsidTr="00A41E72">
        <w:trPr>
          <w:trHeight w:val="255"/>
        </w:trPr>
        <w:tc>
          <w:tcPr>
            <w:tcW w:w="4564" w:type="dxa"/>
            <w:tcBorders>
              <w:right w:val="single" w:sz="4" w:space="0" w:color="auto"/>
            </w:tcBorders>
            <w:hideMark/>
          </w:tcPr>
          <w:p w:rsidR="005A0852" w:rsidRPr="00ED7A28" w:rsidRDefault="005A0852" w:rsidP="005A0852">
            <w:pPr>
              <w:spacing w:line="276" w:lineRule="auto"/>
              <w:rPr>
                <w:rFonts w:cs="Arial"/>
                <w:bCs/>
                <w:noProof/>
              </w:rPr>
            </w:pPr>
            <w:r w:rsidRPr="00ED7A28">
              <w:rPr>
                <w:rFonts w:cs="Arial"/>
                <w:bCs/>
                <w:noProof/>
              </w:rPr>
              <w:t>Provided advocacy support</w:t>
            </w:r>
          </w:p>
        </w:tc>
        <w:tc>
          <w:tcPr>
            <w:tcW w:w="1390" w:type="dxa"/>
            <w:tcBorders>
              <w:left w:val="single" w:sz="4" w:space="0" w:color="auto"/>
            </w:tcBorders>
            <w:noWrap/>
            <w:hideMark/>
          </w:tcPr>
          <w:p w:rsidR="005A0852" w:rsidRPr="00ED7A28" w:rsidRDefault="005A0852" w:rsidP="005A0852">
            <w:pPr>
              <w:spacing w:line="276" w:lineRule="auto"/>
              <w:rPr>
                <w:rFonts w:cs="Arial"/>
                <w:noProof/>
              </w:rPr>
            </w:pPr>
            <w:r>
              <w:rPr>
                <w:rFonts w:cs="Arial"/>
                <w:noProof/>
              </w:rPr>
              <w:t>781</w:t>
            </w:r>
          </w:p>
        </w:tc>
      </w:tr>
      <w:tr w:rsidR="005A0852" w:rsidRPr="00ED7A28" w:rsidTr="00A41E72">
        <w:trPr>
          <w:trHeight w:val="300"/>
        </w:trPr>
        <w:tc>
          <w:tcPr>
            <w:tcW w:w="4564" w:type="dxa"/>
            <w:tcBorders>
              <w:right w:val="single" w:sz="4" w:space="0" w:color="auto"/>
            </w:tcBorders>
            <w:hideMark/>
          </w:tcPr>
          <w:p w:rsidR="005A0852" w:rsidRPr="00ED7A28" w:rsidRDefault="005A0852" w:rsidP="005A0852">
            <w:pPr>
              <w:spacing w:line="276" w:lineRule="auto"/>
              <w:rPr>
                <w:rFonts w:cs="Arial"/>
                <w:bCs/>
                <w:noProof/>
              </w:rPr>
            </w:pPr>
            <w:r w:rsidRPr="00ED7A28">
              <w:rPr>
                <w:rFonts w:cs="Arial"/>
                <w:bCs/>
                <w:noProof/>
              </w:rPr>
              <w:t>Artists provided with premises</w:t>
            </w:r>
          </w:p>
        </w:tc>
        <w:tc>
          <w:tcPr>
            <w:tcW w:w="1390" w:type="dxa"/>
            <w:tcBorders>
              <w:left w:val="single" w:sz="4" w:space="0" w:color="auto"/>
            </w:tcBorders>
            <w:noWrap/>
            <w:hideMark/>
          </w:tcPr>
          <w:p w:rsidR="005A0852" w:rsidRPr="00ED7A28" w:rsidRDefault="005A0852" w:rsidP="005A0852">
            <w:pPr>
              <w:spacing w:line="276" w:lineRule="auto"/>
              <w:rPr>
                <w:rFonts w:cs="Arial"/>
                <w:noProof/>
              </w:rPr>
            </w:pPr>
            <w:r>
              <w:rPr>
                <w:rFonts w:cs="Arial"/>
                <w:noProof/>
              </w:rPr>
              <w:t>679</w:t>
            </w:r>
          </w:p>
        </w:tc>
      </w:tr>
      <w:tr w:rsidR="00ED7A28" w:rsidRPr="00ED7A28" w:rsidTr="00A41E72">
        <w:trPr>
          <w:trHeight w:val="300"/>
        </w:trPr>
        <w:tc>
          <w:tcPr>
            <w:tcW w:w="4564" w:type="dxa"/>
            <w:tcBorders>
              <w:right w:val="single" w:sz="4" w:space="0" w:color="auto"/>
            </w:tcBorders>
            <w:hideMark/>
          </w:tcPr>
          <w:p w:rsidR="00ED7A28" w:rsidRPr="00ED7A28" w:rsidRDefault="00ED7A28" w:rsidP="00ED7A28">
            <w:pPr>
              <w:spacing w:line="276" w:lineRule="auto"/>
              <w:rPr>
                <w:rFonts w:cs="Arial"/>
                <w:bCs/>
                <w:noProof/>
              </w:rPr>
            </w:pPr>
            <w:r w:rsidRPr="00ED7A28">
              <w:rPr>
                <w:rFonts w:cs="Arial"/>
                <w:bCs/>
                <w:noProof/>
              </w:rPr>
              <w:t>Talks or lectures organised / delivered</w:t>
            </w:r>
          </w:p>
        </w:tc>
        <w:tc>
          <w:tcPr>
            <w:tcW w:w="1390" w:type="dxa"/>
            <w:tcBorders>
              <w:left w:val="single" w:sz="4" w:space="0" w:color="auto"/>
            </w:tcBorders>
            <w:noWrap/>
            <w:hideMark/>
          </w:tcPr>
          <w:p w:rsidR="00ED7A28" w:rsidRPr="00ED7A28" w:rsidRDefault="003D0648" w:rsidP="00ED7A28">
            <w:pPr>
              <w:spacing w:line="276" w:lineRule="auto"/>
              <w:rPr>
                <w:rFonts w:cs="Arial"/>
                <w:noProof/>
              </w:rPr>
            </w:pPr>
            <w:r>
              <w:rPr>
                <w:rFonts w:cs="Arial"/>
                <w:noProof/>
              </w:rPr>
              <w:t>123</w:t>
            </w:r>
          </w:p>
        </w:tc>
      </w:tr>
      <w:tr w:rsidR="00ED7A28" w:rsidRPr="00ED7A28" w:rsidTr="00A41E72">
        <w:trPr>
          <w:trHeight w:val="300"/>
        </w:trPr>
        <w:tc>
          <w:tcPr>
            <w:tcW w:w="4564" w:type="dxa"/>
            <w:tcBorders>
              <w:right w:val="single" w:sz="4" w:space="0" w:color="auto"/>
            </w:tcBorders>
            <w:hideMark/>
          </w:tcPr>
          <w:p w:rsidR="00ED7A28" w:rsidRPr="00ED7A28" w:rsidRDefault="00ED7A28" w:rsidP="00ED7A28">
            <w:pPr>
              <w:spacing w:line="276" w:lineRule="auto"/>
              <w:rPr>
                <w:rFonts w:cs="Arial"/>
                <w:bCs/>
                <w:noProof/>
              </w:rPr>
            </w:pPr>
            <w:r w:rsidRPr="00ED7A28">
              <w:rPr>
                <w:rFonts w:cs="Arial"/>
                <w:bCs/>
                <w:noProof/>
              </w:rPr>
              <w:t>Training courses organised / delivered</w:t>
            </w:r>
          </w:p>
        </w:tc>
        <w:tc>
          <w:tcPr>
            <w:tcW w:w="1390" w:type="dxa"/>
            <w:tcBorders>
              <w:left w:val="single" w:sz="4" w:space="0" w:color="auto"/>
            </w:tcBorders>
            <w:noWrap/>
            <w:hideMark/>
          </w:tcPr>
          <w:p w:rsidR="00ED7A28" w:rsidRPr="00ED7A28" w:rsidRDefault="003D0648" w:rsidP="00ED7A28">
            <w:pPr>
              <w:spacing w:line="276" w:lineRule="auto"/>
              <w:rPr>
                <w:rFonts w:cs="Arial"/>
                <w:noProof/>
              </w:rPr>
            </w:pPr>
            <w:r>
              <w:rPr>
                <w:rFonts w:cs="Arial"/>
                <w:noProof/>
              </w:rPr>
              <w:t>102</w:t>
            </w:r>
          </w:p>
        </w:tc>
      </w:tr>
      <w:tr w:rsidR="00ED7A28" w:rsidRPr="00ED7A28" w:rsidTr="00A41E72">
        <w:trPr>
          <w:trHeight w:val="255"/>
        </w:trPr>
        <w:tc>
          <w:tcPr>
            <w:tcW w:w="4564" w:type="dxa"/>
            <w:tcBorders>
              <w:bottom w:val="single" w:sz="4" w:space="0" w:color="auto"/>
              <w:right w:val="single" w:sz="4" w:space="0" w:color="auto"/>
            </w:tcBorders>
            <w:hideMark/>
          </w:tcPr>
          <w:p w:rsidR="00ED7A28" w:rsidRPr="00ED7A28" w:rsidRDefault="00ED7A28" w:rsidP="00ED7A28">
            <w:pPr>
              <w:spacing w:line="276" w:lineRule="auto"/>
              <w:rPr>
                <w:rFonts w:cs="Arial"/>
                <w:bCs/>
                <w:noProof/>
              </w:rPr>
            </w:pPr>
            <w:r w:rsidRPr="00ED7A28">
              <w:rPr>
                <w:rFonts w:cs="Arial"/>
                <w:bCs/>
                <w:noProof/>
              </w:rPr>
              <w:t>Residencies arranged</w:t>
            </w:r>
          </w:p>
        </w:tc>
        <w:tc>
          <w:tcPr>
            <w:tcW w:w="1390" w:type="dxa"/>
            <w:tcBorders>
              <w:left w:val="single" w:sz="4" w:space="0" w:color="auto"/>
              <w:bottom w:val="single" w:sz="4" w:space="0" w:color="auto"/>
            </w:tcBorders>
            <w:noWrap/>
            <w:hideMark/>
          </w:tcPr>
          <w:p w:rsidR="00ED7A28" w:rsidRPr="00ED7A28" w:rsidRDefault="003D0648" w:rsidP="00ED7A28">
            <w:pPr>
              <w:spacing w:line="276" w:lineRule="auto"/>
              <w:rPr>
                <w:rFonts w:cs="Arial"/>
                <w:noProof/>
              </w:rPr>
            </w:pPr>
            <w:r>
              <w:rPr>
                <w:rFonts w:cs="Arial"/>
                <w:noProof/>
              </w:rPr>
              <w:t>30</w:t>
            </w:r>
          </w:p>
        </w:tc>
      </w:tr>
    </w:tbl>
    <w:p w:rsidR="00ED7A28" w:rsidRDefault="00ED7A28" w:rsidP="00016598">
      <w:pPr>
        <w:rPr>
          <w:rFonts w:cs="Arial"/>
          <w:noProof/>
        </w:rPr>
      </w:pPr>
    </w:p>
    <w:p w:rsidR="003D0648" w:rsidRDefault="003D0648" w:rsidP="00016598">
      <w:pPr>
        <w:rPr>
          <w:rFonts w:cs="Arial"/>
          <w:noProof/>
        </w:rPr>
      </w:pPr>
      <w:r>
        <w:rPr>
          <w:rFonts w:cs="Arial"/>
          <w:noProof/>
        </w:rPr>
        <w:t>These o</w:t>
      </w:r>
      <w:r w:rsidR="00016598">
        <w:rPr>
          <w:rFonts w:cs="Arial"/>
          <w:noProof/>
        </w:rPr>
        <w:t>rganisations offer a</w:t>
      </w:r>
      <w:r w:rsidR="00C37706">
        <w:rPr>
          <w:rFonts w:cs="Arial"/>
          <w:noProof/>
        </w:rPr>
        <w:t xml:space="preserve"> </w:t>
      </w:r>
      <w:r w:rsidR="00016598">
        <w:rPr>
          <w:rFonts w:cs="Arial"/>
          <w:noProof/>
        </w:rPr>
        <w:t xml:space="preserve"> mix of services </w:t>
      </w:r>
      <w:r w:rsidR="003A0124">
        <w:rPr>
          <w:rFonts w:cs="Arial"/>
          <w:noProof/>
        </w:rPr>
        <w:t xml:space="preserve">refined to meet </w:t>
      </w:r>
      <w:r>
        <w:rPr>
          <w:rFonts w:cs="Arial"/>
          <w:noProof/>
        </w:rPr>
        <w:t xml:space="preserve">particular needs, their role often evolving over a period of time to reflect the context in which they work – reflecting both artistic needs and often the needs of the local community they operate in.  Resulting supports are often specialised but include  </w:t>
      </w:r>
      <w:r w:rsidR="00016598" w:rsidRPr="007B3872">
        <w:rPr>
          <w:rFonts w:cs="Arial"/>
          <w:noProof/>
        </w:rPr>
        <w:t>advice</w:t>
      </w:r>
      <w:r>
        <w:rPr>
          <w:rFonts w:cs="Arial"/>
          <w:noProof/>
        </w:rPr>
        <w:t xml:space="preserve">, </w:t>
      </w:r>
      <w:r w:rsidR="00016598" w:rsidRPr="007B3872">
        <w:rPr>
          <w:rFonts w:cs="Arial"/>
          <w:noProof/>
        </w:rPr>
        <w:t>advocacy</w:t>
      </w:r>
      <w:r>
        <w:rPr>
          <w:rFonts w:cs="Arial"/>
          <w:noProof/>
        </w:rPr>
        <w:t xml:space="preserve"> support, professional represent</w:t>
      </w:r>
      <w:r w:rsidR="005A0852">
        <w:rPr>
          <w:rFonts w:cs="Arial"/>
          <w:noProof/>
        </w:rPr>
        <w:t>ation and training opportunites.</w:t>
      </w:r>
    </w:p>
    <w:p w:rsidR="001C2BC1" w:rsidRDefault="001C2BC1" w:rsidP="00016598">
      <w:pPr>
        <w:rPr>
          <w:rFonts w:cs="Arial"/>
          <w:noProof/>
        </w:rPr>
      </w:pPr>
    </w:p>
    <w:p w:rsidR="001C2BC1" w:rsidRDefault="00EB556C" w:rsidP="00016598">
      <w:pPr>
        <w:rPr>
          <w:rFonts w:cs="Arial"/>
          <w:noProof/>
        </w:rPr>
      </w:pPr>
      <w:r>
        <w:rPr>
          <w:rFonts w:cs="Arial"/>
          <w:noProof/>
        </w:rPr>
        <w:t xml:space="preserve">Communication with members via newsletters remains a significant and growing dimension of their work. </w:t>
      </w:r>
      <w:r w:rsidR="00F77F99">
        <w:rPr>
          <w:rFonts w:cs="Arial"/>
          <w:noProof/>
        </w:rPr>
        <w:t xml:space="preserve"> Over 100,000 newsletters were distributed in 2013/14, highlighting their recognised value in enhancing communication networks.  Thirty</w:t>
      </w:r>
      <w:r w:rsidR="001C2BC1">
        <w:rPr>
          <w:rFonts w:cs="Arial"/>
          <w:noProof/>
        </w:rPr>
        <w:t xml:space="preserve"> residencies were </w:t>
      </w:r>
      <w:r w:rsidR="00F77F99">
        <w:rPr>
          <w:rFonts w:cs="Arial"/>
          <w:noProof/>
        </w:rPr>
        <w:t xml:space="preserve">arranged for </w:t>
      </w:r>
      <w:r w:rsidR="00B07FE5">
        <w:rPr>
          <w:rFonts w:cs="Arial"/>
          <w:noProof/>
        </w:rPr>
        <w:t xml:space="preserve">practising </w:t>
      </w:r>
      <w:r w:rsidR="00F77F99">
        <w:rPr>
          <w:rFonts w:cs="Arial"/>
          <w:noProof/>
        </w:rPr>
        <w:t>artists, allowing</w:t>
      </w:r>
      <w:r w:rsidR="001C2BC1">
        <w:rPr>
          <w:rFonts w:cs="Arial"/>
          <w:noProof/>
        </w:rPr>
        <w:t xml:space="preserve"> artists time and space away from their day-to-day routine to develop their practice.</w:t>
      </w:r>
    </w:p>
    <w:p w:rsidR="00E01C6C" w:rsidRDefault="00E01C6C">
      <w:pPr>
        <w:spacing w:after="200"/>
        <w:rPr>
          <w:b/>
        </w:rPr>
      </w:pPr>
      <w:r>
        <w:rPr>
          <w:b/>
        </w:rPr>
        <w:br w:type="page"/>
      </w:r>
    </w:p>
    <w:p w:rsidR="00303ACB" w:rsidRDefault="00303ACB" w:rsidP="002D0B12">
      <w:pPr>
        <w:rPr>
          <w:b/>
        </w:rPr>
      </w:pPr>
    </w:p>
    <w:p w:rsidR="00E01C6C" w:rsidRDefault="00B720E1" w:rsidP="00E01C6C">
      <w:pPr>
        <w:pStyle w:val="Heading1"/>
      </w:pPr>
      <w:bookmarkStart w:id="33" w:name="_Toc403986358"/>
      <w:r>
        <w:t>Activity location</w:t>
      </w:r>
      <w:bookmarkEnd w:id="33"/>
      <w:r>
        <w:t xml:space="preserve"> </w:t>
      </w:r>
    </w:p>
    <w:p w:rsidR="00E01C6C" w:rsidRDefault="00E01C6C" w:rsidP="00E01C6C">
      <w:pPr>
        <w:rPr>
          <w:rFonts w:cs="Arial"/>
          <w:noProof/>
        </w:rPr>
      </w:pPr>
      <w:r w:rsidRPr="00E01C6C">
        <w:rPr>
          <w:rFonts w:cs="Arial"/>
          <w:noProof/>
        </w:rPr>
        <w:t>By analysing the postcode data submitted by regularly funded organisations relating to the location of performances, participation and exh</w:t>
      </w:r>
      <w:r w:rsidR="00B720E1">
        <w:rPr>
          <w:rFonts w:cs="Arial"/>
          <w:noProof/>
        </w:rPr>
        <w:t xml:space="preserve">ibitions, </w:t>
      </w:r>
      <w:r w:rsidR="00B07FE5">
        <w:rPr>
          <w:rFonts w:cs="Arial"/>
          <w:noProof/>
        </w:rPr>
        <w:t>the Council is</w:t>
      </w:r>
      <w:r w:rsidR="00B720E1">
        <w:rPr>
          <w:rFonts w:cs="Arial"/>
          <w:noProof/>
        </w:rPr>
        <w:t xml:space="preserve"> able to map its</w:t>
      </w:r>
      <w:r w:rsidRPr="00E01C6C">
        <w:rPr>
          <w:rFonts w:cs="Arial"/>
          <w:noProof/>
        </w:rPr>
        <w:t xml:space="preserve"> spatial distribution against a range of variables </w:t>
      </w:r>
      <w:r w:rsidR="00B720E1">
        <w:rPr>
          <w:rFonts w:cs="Arial"/>
          <w:noProof/>
        </w:rPr>
        <w:t xml:space="preserve">which include deprivation, </w:t>
      </w:r>
      <w:r w:rsidRPr="00E01C6C">
        <w:rPr>
          <w:rFonts w:cs="Arial"/>
          <w:noProof/>
        </w:rPr>
        <w:t>regeneration</w:t>
      </w:r>
      <w:r w:rsidR="00B720E1">
        <w:rPr>
          <w:rFonts w:cs="Arial"/>
          <w:noProof/>
        </w:rPr>
        <w:t xml:space="preserve"> and urban/rural classifications</w:t>
      </w:r>
      <w:r w:rsidRPr="00E01C6C">
        <w:rPr>
          <w:rFonts w:cs="Arial"/>
          <w:noProof/>
        </w:rPr>
        <w:t>.  This allows us to demonstrate the value of our core funded clients</w:t>
      </w:r>
      <w:r w:rsidR="00B07FE5">
        <w:rPr>
          <w:rFonts w:cs="Arial"/>
          <w:noProof/>
        </w:rPr>
        <w:t>’</w:t>
      </w:r>
      <w:r w:rsidRPr="00E01C6C">
        <w:rPr>
          <w:rFonts w:cs="Arial"/>
          <w:noProof/>
        </w:rPr>
        <w:t xml:space="preserve"> work in relation to government priorities in the same areas.</w:t>
      </w:r>
    </w:p>
    <w:p w:rsidR="00E01C6C" w:rsidRPr="00E01C6C" w:rsidRDefault="00E01C6C" w:rsidP="00E01C6C">
      <w:pPr>
        <w:rPr>
          <w:rFonts w:cs="Arial"/>
          <w:noProof/>
        </w:rPr>
      </w:pPr>
    </w:p>
    <w:p w:rsidR="00E01C6C" w:rsidRPr="00E01C6C" w:rsidRDefault="00E01C6C" w:rsidP="00E01C6C">
      <w:pPr>
        <w:rPr>
          <w:rFonts w:cs="Arial"/>
          <w:noProof/>
        </w:rPr>
      </w:pPr>
      <w:r w:rsidRPr="00E01C6C">
        <w:rPr>
          <w:rFonts w:cs="Arial"/>
          <w:noProof/>
        </w:rPr>
        <w:t>In order to map the location of activity, valid postcodes</w:t>
      </w:r>
      <w:r w:rsidRPr="00E01C6C">
        <w:rPr>
          <w:rFonts w:cs="Arial"/>
          <w:noProof/>
          <w:vertAlign w:val="superscript"/>
        </w:rPr>
        <w:footnoteReference w:id="4"/>
      </w:r>
      <w:r w:rsidR="00D424DE">
        <w:rPr>
          <w:rFonts w:cs="Arial"/>
          <w:noProof/>
        </w:rPr>
        <w:t xml:space="preserve"> are required.  Table 11</w:t>
      </w:r>
      <w:r w:rsidRPr="00E01C6C">
        <w:rPr>
          <w:rFonts w:cs="Arial"/>
          <w:noProof/>
        </w:rPr>
        <w:t xml:space="preserve"> shows the proportion of activity locations that were associated with valid postcodes.  </w:t>
      </w:r>
      <w:r w:rsidR="001736C0">
        <w:rPr>
          <w:rFonts w:cs="Arial"/>
          <w:noProof/>
        </w:rPr>
        <w:t>86</w:t>
      </w:r>
      <w:r w:rsidRPr="00E01C6C">
        <w:rPr>
          <w:rFonts w:cs="Arial"/>
          <w:noProof/>
        </w:rPr>
        <w:t xml:space="preserve"> percent of activity was mappable.  </w:t>
      </w:r>
    </w:p>
    <w:p w:rsidR="00E01C6C" w:rsidRDefault="00E01C6C" w:rsidP="00E01C6C">
      <w:pPr>
        <w:rPr>
          <w:b/>
        </w:rPr>
      </w:pPr>
    </w:p>
    <w:p w:rsidR="00E01C6C" w:rsidRPr="00E01C6C" w:rsidRDefault="00E01C6C" w:rsidP="00E01C6C">
      <w:pPr>
        <w:pStyle w:val="Caption"/>
      </w:pPr>
      <w:proofErr w:type="gramStart"/>
      <w:r>
        <w:t xml:space="preserve">Table </w:t>
      </w:r>
      <w:proofErr w:type="gramEnd"/>
      <w:r w:rsidR="007E1772">
        <w:fldChar w:fldCharType="begin"/>
      </w:r>
      <w:r w:rsidR="007E1772">
        <w:instrText xml:space="preserve"> SEQ Table \* ARABIC </w:instrText>
      </w:r>
      <w:r w:rsidR="007E1772">
        <w:fldChar w:fldCharType="separate"/>
      </w:r>
      <w:r w:rsidR="00875985">
        <w:rPr>
          <w:noProof/>
        </w:rPr>
        <w:t>11</w:t>
      </w:r>
      <w:r w:rsidR="007E1772">
        <w:rPr>
          <w:noProof/>
        </w:rPr>
        <w:fldChar w:fldCharType="end"/>
      </w:r>
      <w:proofErr w:type="gramStart"/>
      <w:r w:rsidR="00D424DE">
        <w:t xml:space="preserve">: </w:t>
      </w:r>
      <w:r>
        <w:rPr>
          <w:b w:val="0"/>
        </w:rPr>
        <w:t xml:space="preserve">Proportion of </w:t>
      </w:r>
      <w:r w:rsidR="009740C1">
        <w:rPr>
          <w:b w:val="0"/>
        </w:rPr>
        <w:t>‘</w:t>
      </w:r>
      <w:r>
        <w:rPr>
          <w:b w:val="0"/>
        </w:rPr>
        <w:t>mappable</w:t>
      </w:r>
      <w:r w:rsidR="009740C1">
        <w:rPr>
          <w:b w:val="0"/>
        </w:rPr>
        <w:t>’</w:t>
      </w:r>
      <w:r w:rsidRPr="00E01C6C">
        <w:rPr>
          <w:b w:val="0"/>
        </w:rPr>
        <w:t xml:space="preserve"> postcodes by activity type, 2013/14.</w:t>
      </w:r>
      <w:proofErr w:type="gramEnd"/>
      <w:r w:rsidRPr="00E01C6C">
        <w:t xml:space="preserve">  </w:t>
      </w:r>
      <w:r w:rsidRPr="00E01C6C">
        <w:fldChar w:fldCharType="begin"/>
      </w:r>
      <w:r w:rsidRPr="00E01C6C">
        <w:instrText xml:space="preserve"> LINK Excel.Sheet.12 "\\\\fs0.acninet.local\\Staff\\gstevenson\\Book1 map.xlsx" Sheet1!R2C2:R6C5 \a \f 4 \h  \* MERGEFORMAT </w:instrText>
      </w:r>
      <w:r w:rsidRPr="00E01C6C">
        <w:fldChar w:fldCharType="separate"/>
      </w:r>
    </w:p>
    <w:tbl>
      <w:tblPr>
        <w:tblStyle w:val="RFOTableFormat"/>
        <w:tblW w:w="9016" w:type="dxa"/>
        <w:tblInd w:w="108" w:type="dxa"/>
        <w:tblLook w:val="04A0" w:firstRow="1" w:lastRow="0" w:firstColumn="1" w:lastColumn="0" w:noHBand="0" w:noVBand="1"/>
      </w:tblPr>
      <w:tblGrid>
        <w:gridCol w:w="2869"/>
        <w:gridCol w:w="1667"/>
        <w:gridCol w:w="1985"/>
        <w:gridCol w:w="2495"/>
      </w:tblGrid>
      <w:tr w:rsidR="001736C0" w:rsidRPr="001736C0" w:rsidTr="00F96A21">
        <w:trPr>
          <w:cnfStyle w:val="100000000000" w:firstRow="1" w:lastRow="0" w:firstColumn="0" w:lastColumn="0" w:oddVBand="0" w:evenVBand="0" w:oddHBand="0" w:evenHBand="0" w:firstRowFirstColumn="0" w:firstRowLastColumn="0" w:lastRowFirstColumn="0" w:lastRowLastColumn="0"/>
          <w:trHeight w:val="694"/>
        </w:trPr>
        <w:tc>
          <w:tcPr>
            <w:tcW w:w="2869" w:type="dxa"/>
            <w:tcBorders>
              <w:right w:val="single" w:sz="4" w:space="0" w:color="auto"/>
            </w:tcBorders>
            <w:noWrap/>
            <w:hideMark/>
          </w:tcPr>
          <w:p w:rsidR="001736C0" w:rsidRPr="001736C0" w:rsidRDefault="001736C0" w:rsidP="00E01C6C">
            <w:pPr>
              <w:spacing w:line="276" w:lineRule="auto"/>
              <w:rPr>
                <w:szCs w:val="20"/>
              </w:rPr>
            </w:pPr>
          </w:p>
        </w:tc>
        <w:tc>
          <w:tcPr>
            <w:tcW w:w="1667" w:type="dxa"/>
            <w:tcBorders>
              <w:left w:val="single" w:sz="4" w:space="0" w:color="auto"/>
            </w:tcBorders>
            <w:hideMark/>
          </w:tcPr>
          <w:p w:rsidR="001736C0" w:rsidRPr="00901FF1" w:rsidRDefault="001736C0" w:rsidP="00901FF1">
            <w:pPr>
              <w:rPr>
                <w:rFonts w:ascii="Calibri" w:eastAsia="Times New Roman" w:hAnsi="Calibri" w:cs="Times New Roman"/>
                <w:color w:val="000000"/>
                <w:lang w:eastAsia="en-GB"/>
              </w:rPr>
            </w:pPr>
            <w:r w:rsidRPr="00901FF1">
              <w:rPr>
                <w:rFonts w:ascii="Calibri" w:eastAsia="Times New Roman" w:hAnsi="Calibri" w:cs="Times New Roman"/>
                <w:color w:val="000000"/>
                <w:lang w:eastAsia="en-GB"/>
              </w:rPr>
              <w:t>Number of activities</w:t>
            </w:r>
          </w:p>
        </w:tc>
        <w:tc>
          <w:tcPr>
            <w:tcW w:w="1985" w:type="dxa"/>
            <w:hideMark/>
          </w:tcPr>
          <w:p w:rsidR="001736C0" w:rsidRPr="00901FF1" w:rsidRDefault="001736C0" w:rsidP="00901FF1">
            <w:pPr>
              <w:rPr>
                <w:rFonts w:ascii="Calibri" w:eastAsia="Times New Roman" w:hAnsi="Calibri" w:cs="Times New Roman"/>
                <w:color w:val="000000"/>
                <w:lang w:eastAsia="en-GB"/>
              </w:rPr>
            </w:pPr>
            <w:r w:rsidRPr="00901FF1">
              <w:rPr>
                <w:rFonts w:ascii="Calibri" w:eastAsia="Times New Roman" w:hAnsi="Calibri" w:cs="Times New Roman"/>
                <w:color w:val="000000"/>
                <w:lang w:eastAsia="en-GB"/>
              </w:rPr>
              <w:t>Number of valid postcodes</w:t>
            </w:r>
          </w:p>
        </w:tc>
        <w:tc>
          <w:tcPr>
            <w:tcW w:w="2495" w:type="dxa"/>
          </w:tcPr>
          <w:p w:rsidR="001736C0" w:rsidRPr="00901FF1" w:rsidRDefault="001736C0" w:rsidP="00901FF1">
            <w:pPr>
              <w:rPr>
                <w:rFonts w:ascii="Calibri" w:eastAsia="Times New Roman" w:hAnsi="Calibri" w:cs="Times New Roman"/>
                <w:color w:val="000000"/>
                <w:lang w:eastAsia="en-GB"/>
              </w:rPr>
            </w:pPr>
            <w:r w:rsidRPr="00901FF1">
              <w:rPr>
                <w:rFonts w:ascii="Calibri" w:eastAsia="Times New Roman" w:hAnsi="Calibri" w:cs="Times New Roman"/>
                <w:color w:val="000000"/>
                <w:lang w:eastAsia="en-GB"/>
              </w:rPr>
              <w:t>Percentage of valid postcodes</w:t>
            </w:r>
          </w:p>
        </w:tc>
      </w:tr>
      <w:tr w:rsidR="001736C0" w:rsidRPr="001736C0" w:rsidTr="00F96A21">
        <w:trPr>
          <w:trHeight w:val="300"/>
        </w:trPr>
        <w:tc>
          <w:tcPr>
            <w:tcW w:w="2869" w:type="dxa"/>
            <w:tcBorders>
              <w:right w:val="single" w:sz="4" w:space="0" w:color="auto"/>
            </w:tcBorders>
            <w:noWrap/>
            <w:hideMark/>
          </w:tcPr>
          <w:p w:rsidR="001736C0" w:rsidRPr="001736C0" w:rsidRDefault="001736C0" w:rsidP="00E01C6C">
            <w:pPr>
              <w:spacing w:line="276" w:lineRule="auto"/>
              <w:rPr>
                <w:szCs w:val="20"/>
              </w:rPr>
            </w:pPr>
            <w:r w:rsidRPr="001736C0">
              <w:rPr>
                <w:szCs w:val="20"/>
              </w:rPr>
              <w:t>Exhibitions</w:t>
            </w:r>
          </w:p>
        </w:tc>
        <w:tc>
          <w:tcPr>
            <w:tcW w:w="1667" w:type="dxa"/>
            <w:tcBorders>
              <w:left w:val="single" w:sz="4" w:space="0" w:color="auto"/>
            </w:tcBorders>
            <w:noWrap/>
            <w:hideMark/>
          </w:tcPr>
          <w:p w:rsidR="001736C0" w:rsidRPr="001736C0" w:rsidRDefault="001736C0" w:rsidP="00E01C6C">
            <w:pPr>
              <w:spacing w:line="276" w:lineRule="auto"/>
              <w:rPr>
                <w:szCs w:val="20"/>
              </w:rPr>
            </w:pPr>
            <w:r w:rsidRPr="001736C0">
              <w:rPr>
                <w:szCs w:val="20"/>
              </w:rPr>
              <w:t>445</w:t>
            </w:r>
          </w:p>
        </w:tc>
        <w:tc>
          <w:tcPr>
            <w:tcW w:w="1985" w:type="dxa"/>
            <w:noWrap/>
            <w:hideMark/>
          </w:tcPr>
          <w:p w:rsidR="001736C0" w:rsidRPr="001736C0" w:rsidRDefault="001736C0" w:rsidP="00E01C6C">
            <w:pPr>
              <w:spacing w:line="276" w:lineRule="auto"/>
              <w:rPr>
                <w:szCs w:val="20"/>
              </w:rPr>
            </w:pPr>
            <w:r w:rsidRPr="001736C0">
              <w:rPr>
                <w:szCs w:val="20"/>
              </w:rPr>
              <w:t>194</w:t>
            </w:r>
          </w:p>
        </w:tc>
        <w:tc>
          <w:tcPr>
            <w:tcW w:w="2495" w:type="dxa"/>
          </w:tcPr>
          <w:p w:rsidR="001736C0" w:rsidRPr="001736C0" w:rsidRDefault="001736C0" w:rsidP="00E01C6C">
            <w:pPr>
              <w:rPr>
                <w:szCs w:val="20"/>
              </w:rPr>
            </w:pPr>
            <w:r>
              <w:rPr>
                <w:szCs w:val="20"/>
              </w:rPr>
              <w:t>43%</w:t>
            </w:r>
          </w:p>
        </w:tc>
      </w:tr>
      <w:tr w:rsidR="001736C0" w:rsidRPr="001736C0" w:rsidTr="00F96A21">
        <w:trPr>
          <w:trHeight w:val="300"/>
        </w:trPr>
        <w:tc>
          <w:tcPr>
            <w:tcW w:w="2869" w:type="dxa"/>
            <w:tcBorders>
              <w:right w:val="single" w:sz="4" w:space="0" w:color="auto"/>
            </w:tcBorders>
            <w:noWrap/>
            <w:hideMark/>
          </w:tcPr>
          <w:p w:rsidR="001736C0" w:rsidRPr="001736C0" w:rsidRDefault="001736C0" w:rsidP="00E01C6C">
            <w:pPr>
              <w:spacing w:line="276" w:lineRule="auto"/>
              <w:rPr>
                <w:szCs w:val="20"/>
              </w:rPr>
            </w:pPr>
            <w:r w:rsidRPr="001736C0">
              <w:rPr>
                <w:szCs w:val="20"/>
              </w:rPr>
              <w:t>Participation based activity</w:t>
            </w:r>
          </w:p>
        </w:tc>
        <w:tc>
          <w:tcPr>
            <w:tcW w:w="1667" w:type="dxa"/>
            <w:tcBorders>
              <w:left w:val="single" w:sz="4" w:space="0" w:color="auto"/>
            </w:tcBorders>
            <w:noWrap/>
            <w:hideMark/>
          </w:tcPr>
          <w:p w:rsidR="001736C0" w:rsidRPr="001736C0" w:rsidRDefault="001736C0" w:rsidP="00E01C6C">
            <w:pPr>
              <w:spacing w:line="276" w:lineRule="auto"/>
              <w:rPr>
                <w:szCs w:val="20"/>
              </w:rPr>
            </w:pPr>
            <w:r w:rsidRPr="001736C0">
              <w:rPr>
                <w:szCs w:val="20"/>
              </w:rPr>
              <w:t>4,676</w:t>
            </w:r>
          </w:p>
        </w:tc>
        <w:tc>
          <w:tcPr>
            <w:tcW w:w="1985" w:type="dxa"/>
            <w:noWrap/>
            <w:hideMark/>
          </w:tcPr>
          <w:p w:rsidR="001736C0" w:rsidRPr="001736C0" w:rsidRDefault="0094090C" w:rsidP="00E01C6C">
            <w:pPr>
              <w:spacing w:line="276" w:lineRule="auto"/>
              <w:rPr>
                <w:szCs w:val="20"/>
              </w:rPr>
            </w:pPr>
            <w:r>
              <w:rPr>
                <w:szCs w:val="20"/>
              </w:rPr>
              <w:t>4,093</w:t>
            </w:r>
          </w:p>
        </w:tc>
        <w:tc>
          <w:tcPr>
            <w:tcW w:w="2495" w:type="dxa"/>
          </w:tcPr>
          <w:p w:rsidR="001736C0" w:rsidRPr="001736C0" w:rsidRDefault="0094090C" w:rsidP="00E01C6C">
            <w:pPr>
              <w:rPr>
                <w:szCs w:val="20"/>
              </w:rPr>
            </w:pPr>
            <w:r>
              <w:rPr>
                <w:szCs w:val="20"/>
              </w:rPr>
              <w:t>88</w:t>
            </w:r>
            <w:r w:rsidR="001736C0">
              <w:rPr>
                <w:szCs w:val="20"/>
              </w:rPr>
              <w:t>%</w:t>
            </w:r>
          </w:p>
        </w:tc>
      </w:tr>
      <w:tr w:rsidR="001736C0" w:rsidRPr="001736C0" w:rsidTr="00F96A21">
        <w:trPr>
          <w:trHeight w:val="300"/>
        </w:trPr>
        <w:tc>
          <w:tcPr>
            <w:tcW w:w="2869" w:type="dxa"/>
            <w:tcBorders>
              <w:right w:val="single" w:sz="4" w:space="0" w:color="auto"/>
            </w:tcBorders>
            <w:noWrap/>
            <w:hideMark/>
          </w:tcPr>
          <w:p w:rsidR="001736C0" w:rsidRPr="001736C0" w:rsidRDefault="001736C0" w:rsidP="00E01C6C">
            <w:pPr>
              <w:spacing w:line="276" w:lineRule="auto"/>
              <w:rPr>
                <w:szCs w:val="20"/>
              </w:rPr>
            </w:pPr>
            <w:r w:rsidRPr="001736C0">
              <w:rPr>
                <w:szCs w:val="20"/>
              </w:rPr>
              <w:t>Productions /  performances</w:t>
            </w:r>
          </w:p>
        </w:tc>
        <w:tc>
          <w:tcPr>
            <w:tcW w:w="1667" w:type="dxa"/>
            <w:tcBorders>
              <w:left w:val="single" w:sz="4" w:space="0" w:color="auto"/>
            </w:tcBorders>
            <w:noWrap/>
            <w:hideMark/>
          </w:tcPr>
          <w:p w:rsidR="001736C0" w:rsidRPr="001736C0" w:rsidRDefault="001736C0" w:rsidP="00E01C6C">
            <w:pPr>
              <w:spacing w:line="276" w:lineRule="auto"/>
              <w:rPr>
                <w:szCs w:val="20"/>
              </w:rPr>
            </w:pPr>
            <w:r w:rsidRPr="001736C0">
              <w:rPr>
                <w:szCs w:val="20"/>
              </w:rPr>
              <w:t>3,863</w:t>
            </w:r>
          </w:p>
        </w:tc>
        <w:tc>
          <w:tcPr>
            <w:tcW w:w="1985" w:type="dxa"/>
            <w:noWrap/>
            <w:hideMark/>
          </w:tcPr>
          <w:p w:rsidR="001736C0" w:rsidRPr="001736C0" w:rsidRDefault="001736C0" w:rsidP="00E01C6C">
            <w:pPr>
              <w:spacing w:line="276" w:lineRule="auto"/>
              <w:rPr>
                <w:szCs w:val="20"/>
              </w:rPr>
            </w:pPr>
            <w:r w:rsidRPr="001736C0">
              <w:rPr>
                <w:szCs w:val="20"/>
              </w:rPr>
              <w:t>3,418</w:t>
            </w:r>
          </w:p>
        </w:tc>
        <w:tc>
          <w:tcPr>
            <w:tcW w:w="2495" w:type="dxa"/>
          </w:tcPr>
          <w:p w:rsidR="001736C0" w:rsidRPr="001736C0" w:rsidRDefault="001736C0" w:rsidP="00E01C6C">
            <w:pPr>
              <w:rPr>
                <w:szCs w:val="20"/>
              </w:rPr>
            </w:pPr>
            <w:r>
              <w:rPr>
                <w:szCs w:val="20"/>
              </w:rPr>
              <w:t>88%</w:t>
            </w:r>
          </w:p>
        </w:tc>
      </w:tr>
      <w:tr w:rsidR="001736C0" w:rsidRPr="001736C0" w:rsidTr="00F96A21">
        <w:trPr>
          <w:trHeight w:val="300"/>
        </w:trPr>
        <w:tc>
          <w:tcPr>
            <w:tcW w:w="2869" w:type="dxa"/>
            <w:tcBorders>
              <w:bottom w:val="single" w:sz="4" w:space="0" w:color="auto"/>
              <w:right w:val="single" w:sz="4" w:space="0" w:color="auto"/>
            </w:tcBorders>
            <w:noWrap/>
            <w:hideMark/>
          </w:tcPr>
          <w:p w:rsidR="001736C0" w:rsidRPr="001736C0" w:rsidRDefault="001736C0" w:rsidP="00E01C6C">
            <w:pPr>
              <w:spacing w:line="276" w:lineRule="auto"/>
              <w:rPr>
                <w:szCs w:val="20"/>
              </w:rPr>
            </w:pPr>
            <w:r w:rsidRPr="001736C0">
              <w:rPr>
                <w:szCs w:val="20"/>
              </w:rPr>
              <w:t>Overall</w:t>
            </w:r>
          </w:p>
        </w:tc>
        <w:tc>
          <w:tcPr>
            <w:tcW w:w="1667" w:type="dxa"/>
            <w:tcBorders>
              <w:left w:val="single" w:sz="4" w:space="0" w:color="auto"/>
              <w:bottom w:val="single" w:sz="4" w:space="0" w:color="auto"/>
            </w:tcBorders>
            <w:noWrap/>
            <w:hideMark/>
          </w:tcPr>
          <w:p w:rsidR="001736C0" w:rsidRPr="001736C0" w:rsidRDefault="001736C0" w:rsidP="00E01C6C">
            <w:pPr>
              <w:spacing w:line="276" w:lineRule="auto"/>
              <w:rPr>
                <w:szCs w:val="20"/>
              </w:rPr>
            </w:pPr>
            <w:r w:rsidRPr="001736C0">
              <w:rPr>
                <w:szCs w:val="20"/>
              </w:rPr>
              <w:t>8,984</w:t>
            </w:r>
          </w:p>
        </w:tc>
        <w:tc>
          <w:tcPr>
            <w:tcW w:w="1985" w:type="dxa"/>
            <w:tcBorders>
              <w:bottom w:val="single" w:sz="4" w:space="0" w:color="auto"/>
            </w:tcBorders>
            <w:noWrap/>
            <w:hideMark/>
          </w:tcPr>
          <w:p w:rsidR="001736C0" w:rsidRPr="001736C0" w:rsidRDefault="0094090C" w:rsidP="00E01C6C">
            <w:pPr>
              <w:spacing w:line="276" w:lineRule="auto"/>
              <w:rPr>
                <w:szCs w:val="20"/>
              </w:rPr>
            </w:pPr>
            <w:r>
              <w:rPr>
                <w:szCs w:val="20"/>
              </w:rPr>
              <w:t>7,705</w:t>
            </w:r>
          </w:p>
        </w:tc>
        <w:tc>
          <w:tcPr>
            <w:tcW w:w="2495" w:type="dxa"/>
            <w:tcBorders>
              <w:bottom w:val="single" w:sz="4" w:space="0" w:color="auto"/>
            </w:tcBorders>
          </w:tcPr>
          <w:p w:rsidR="001736C0" w:rsidRPr="001736C0" w:rsidRDefault="001736C0" w:rsidP="00E01C6C">
            <w:pPr>
              <w:rPr>
                <w:szCs w:val="20"/>
              </w:rPr>
            </w:pPr>
            <w:r>
              <w:rPr>
                <w:szCs w:val="20"/>
              </w:rPr>
              <w:t>86%</w:t>
            </w:r>
          </w:p>
        </w:tc>
      </w:tr>
    </w:tbl>
    <w:p w:rsidR="00E01C6C" w:rsidRDefault="00E01C6C" w:rsidP="002D0B12">
      <w:pPr>
        <w:rPr>
          <w:b/>
        </w:rPr>
      </w:pPr>
      <w:r w:rsidRPr="00E01C6C">
        <w:rPr>
          <w:b/>
        </w:rPr>
        <w:fldChar w:fldCharType="end"/>
      </w:r>
    </w:p>
    <w:p w:rsidR="001736C0" w:rsidRDefault="001736C0" w:rsidP="001736C0">
      <w:pPr>
        <w:pStyle w:val="Heading2"/>
      </w:pPr>
      <w:bookmarkStart w:id="34" w:name="_Toc403986359"/>
      <w:r>
        <w:t>Overall activity</w:t>
      </w:r>
      <w:bookmarkEnd w:id="34"/>
    </w:p>
    <w:p w:rsidR="009F202E" w:rsidRDefault="009F202E" w:rsidP="001736C0"/>
    <w:p w:rsidR="00901FF1" w:rsidRDefault="00901FF1" w:rsidP="00901FF1">
      <w:r>
        <w:t>As can be seen in Table 12, the majority of activity, regardless of type, took place in Belfast and Derry~Londonderry.  Fifty eight percent took place in Belfast with 20 percent in Derry~Londonderry.</w:t>
      </w:r>
    </w:p>
    <w:p w:rsidR="007E313B" w:rsidRDefault="007E313B" w:rsidP="001736C0"/>
    <w:p w:rsidR="007E313B" w:rsidRDefault="00E7489C" w:rsidP="00E7489C">
      <w:pPr>
        <w:pStyle w:val="Caption"/>
        <w:rPr>
          <w:rFonts w:asciiTheme="minorHAnsi" w:hAnsiTheme="minorHAnsi"/>
        </w:rPr>
      </w:pPr>
      <w:r>
        <w:t xml:space="preserve">Table </w:t>
      </w:r>
      <w:r w:rsidR="00D3437B">
        <w:fldChar w:fldCharType="begin"/>
      </w:r>
      <w:r w:rsidR="00D3437B">
        <w:instrText xml:space="preserve"> SEQ Table \* ARABIC </w:instrText>
      </w:r>
      <w:r w:rsidR="00D3437B">
        <w:fldChar w:fldCharType="separate"/>
      </w:r>
      <w:r w:rsidR="00875985">
        <w:rPr>
          <w:noProof/>
        </w:rPr>
        <w:t>12</w:t>
      </w:r>
      <w:r w:rsidR="00D3437B">
        <w:rPr>
          <w:noProof/>
        </w:rPr>
        <w:fldChar w:fldCharType="end"/>
      </w:r>
      <w:r>
        <w:t xml:space="preserve">: </w:t>
      </w:r>
      <w:r w:rsidRPr="00E7489C">
        <w:rPr>
          <w:b w:val="0"/>
        </w:rPr>
        <w:t>Location of activity by Local Authority Area</w:t>
      </w:r>
      <w:r w:rsidR="007E313B">
        <w:fldChar w:fldCharType="begin"/>
      </w:r>
      <w:r w:rsidR="007E313B">
        <w:instrText xml:space="preserve"> LINK Excel.Sheet.12 "\\\\fs0.acninet.local\\strategic_share\\Policy &amp; Research Team\\Survey Data Sets\\RFO\\RFO 1314\\1314 Finance\\1314 charts v2.xlsx" "mapping!R1C7:R5C10" \a \f 4 \h </w:instrText>
      </w:r>
      <w:r>
        <w:instrText xml:space="preserve"> \* MERGEFORMAT </w:instrText>
      </w:r>
      <w:r w:rsidR="007E313B">
        <w:fldChar w:fldCharType="separate"/>
      </w:r>
    </w:p>
    <w:tbl>
      <w:tblPr>
        <w:tblStyle w:val="RFOTableFormat"/>
        <w:tblW w:w="7689" w:type="dxa"/>
        <w:tblInd w:w="108" w:type="dxa"/>
        <w:tblLook w:val="04A0" w:firstRow="1" w:lastRow="0" w:firstColumn="1" w:lastColumn="0" w:noHBand="0" w:noVBand="1"/>
      </w:tblPr>
      <w:tblGrid>
        <w:gridCol w:w="3052"/>
        <w:gridCol w:w="1520"/>
        <w:gridCol w:w="1300"/>
        <w:gridCol w:w="1817"/>
      </w:tblGrid>
      <w:tr w:rsidR="007E313B" w:rsidRPr="007E313B" w:rsidTr="00901FF1">
        <w:trPr>
          <w:cnfStyle w:val="100000000000" w:firstRow="1" w:lastRow="0" w:firstColumn="0" w:lastColumn="0" w:oddVBand="0" w:evenVBand="0" w:oddHBand="0" w:evenHBand="0" w:firstRowFirstColumn="0" w:firstRowLastColumn="0" w:lastRowFirstColumn="0" w:lastRowLastColumn="0"/>
          <w:trHeight w:val="300"/>
        </w:trPr>
        <w:tc>
          <w:tcPr>
            <w:tcW w:w="3052" w:type="dxa"/>
            <w:tcBorders>
              <w:right w:val="single" w:sz="4" w:space="0" w:color="auto"/>
            </w:tcBorders>
            <w:noWrap/>
            <w:hideMark/>
          </w:tcPr>
          <w:p w:rsidR="007E313B" w:rsidRPr="007E313B" w:rsidRDefault="007E313B" w:rsidP="00E7489C">
            <w:pPr>
              <w:jc w:val="center"/>
              <w:rPr>
                <w:rFonts w:ascii="Calibri" w:eastAsia="Times New Roman" w:hAnsi="Calibri" w:cs="Times New Roman"/>
                <w:color w:val="000000"/>
                <w:lang w:eastAsia="en-GB"/>
              </w:rPr>
            </w:pPr>
          </w:p>
        </w:tc>
        <w:tc>
          <w:tcPr>
            <w:tcW w:w="1520" w:type="dxa"/>
            <w:tcBorders>
              <w:left w:val="single" w:sz="4" w:space="0" w:color="auto"/>
            </w:tcBorders>
            <w:noWrap/>
            <w:hideMark/>
          </w:tcPr>
          <w:p w:rsidR="007E313B" w:rsidRPr="007E313B" w:rsidRDefault="00E7489C" w:rsidP="00901FF1">
            <w:pPr>
              <w:rPr>
                <w:rFonts w:ascii="Calibri" w:eastAsia="Times New Roman" w:hAnsi="Calibri" w:cs="Times New Roman"/>
                <w:color w:val="000000"/>
                <w:lang w:eastAsia="en-GB"/>
              </w:rPr>
            </w:pPr>
            <w:r>
              <w:rPr>
                <w:rFonts w:ascii="Calibri" w:eastAsia="Times New Roman" w:hAnsi="Calibri" w:cs="Times New Roman"/>
                <w:color w:val="000000"/>
                <w:lang w:eastAsia="en-GB"/>
              </w:rPr>
              <w:t>Number of activities</w:t>
            </w:r>
          </w:p>
        </w:tc>
        <w:tc>
          <w:tcPr>
            <w:tcW w:w="1300" w:type="dxa"/>
            <w:noWrap/>
            <w:hideMark/>
          </w:tcPr>
          <w:p w:rsidR="007E313B" w:rsidRPr="007E313B" w:rsidRDefault="00E7489C" w:rsidP="00901FF1">
            <w:pPr>
              <w:rPr>
                <w:rFonts w:ascii="Calibri" w:eastAsia="Times New Roman" w:hAnsi="Calibri" w:cs="Times New Roman"/>
                <w:color w:val="000000"/>
                <w:lang w:eastAsia="en-GB"/>
              </w:rPr>
            </w:pPr>
            <w:r>
              <w:rPr>
                <w:rFonts w:ascii="Calibri" w:eastAsia="Times New Roman" w:hAnsi="Calibri" w:cs="Times New Roman"/>
                <w:color w:val="000000"/>
                <w:lang w:eastAsia="en-GB"/>
              </w:rPr>
              <w:t>Sum of people engaged</w:t>
            </w:r>
          </w:p>
        </w:tc>
        <w:tc>
          <w:tcPr>
            <w:tcW w:w="1817" w:type="dxa"/>
            <w:noWrap/>
            <w:hideMark/>
          </w:tcPr>
          <w:p w:rsidR="007E313B" w:rsidRPr="007E313B" w:rsidRDefault="00E7489C" w:rsidP="00901FF1">
            <w:pPr>
              <w:rPr>
                <w:rFonts w:ascii="Calibri" w:eastAsia="Times New Roman" w:hAnsi="Calibri" w:cs="Times New Roman"/>
                <w:color w:val="000000"/>
                <w:lang w:eastAsia="en-GB"/>
              </w:rPr>
            </w:pPr>
            <w:r>
              <w:rPr>
                <w:rFonts w:ascii="Calibri" w:eastAsia="Times New Roman" w:hAnsi="Calibri" w:cs="Times New Roman"/>
                <w:color w:val="000000"/>
                <w:lang w:eastAsia="en-GB"/>
              </w:rPr>
              <w:t>Percentage of engagement</w:t>
            </w:r>
          </w:p>
        </w:tc>
      </w:tr>
      <w:tr w:rsidR="007E313B" w:rsidRPr="007E313B" w:rsidTr="00901FF1">
        <w:trPr>
          <w:trHeight w:val="300"/>
        </w:trPr>
        <w:tc>
          <w:tcPr>
            <w:tcW w:w="3052" w:type="dxa"/>
            <w:tcBorders>
              <w:right w:val="single" w:sz="4" w:space="0" w:color="auto"/>
            </w:tcBorders>
            <w:noWrap/>
            <w:hideMark/>
          </w:tcPr>
          <w:p w:rsidR="007E313B" w:rsidRPr="007E313B" w:rsidRDefault="007E313B" w:rsidP="007E313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BELFAST</w:t>
            </w:r>
          </w:p>
        </w:tc>
        <w:tc>
          <w:tcPr>
            <w:tcW w:w="1520" w:type="dxa"/>
            <w:tcBorders>
              <w:left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4,266</w:t>
            </w:r>
          </w:p>
        </w:tc>
        <w:tc>
          <w:tcPr>
            <w:tcW w:w="1300" w:type="dxa"/>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1,239,061</w:t>
            </w:r>
          </w:p>
        </w:tc>
        <w:tc>
          <w:tcPr>
            <w:tcW w:w="1817" w:type="dxa"/>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58%</w:t>
            </w:r>
          </w:p>
        </w:tc>
      </w:tr>
      <w:tr w:rsidR="007E313B" w:rsidRPr="007E313B" w:rsidTr="00901FF1">
        <w:trPr>
          <w:trHeight w:val="300"/>
        </w:trPr>
        <w:tc>
          <w:tcPr>
            <w:tcW w:w="3052" w:type="dxa"/>
            <w:tcBorders>
              <w:right w:val="single" w:sz="4" w:space="0" w:color="auto"/>
            </w:tcBorders>
            <w:noWrap/>
            <w:hideMark/>
          </w:tcPr>
          <w:p w:rsidR="007E313B" w:rsidRPr="007E313B" w:rsidRDefault="007E313B" w:rsidP="007E313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DERRY</w:t>
            </w:r>
          </w:p>
        </w:tc>
        <w:tc>
          <w:tcPr>
            <w:tcW w:w="1520" w:type="dxa"/>
            <w:tcBorders>
              <w:left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1,230</w:t>
            </w:r>
          </w:p>
        </w:tc>
        <w:tc>
          <w:tcPr>
            <w:tcW w:w="1300" w:type="dxa"/>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432,660</w:t>
            </w:r>
          </w:p>
        </w:tc>
        <w:tc>
          <w:tcPr>
            <w:tcW w:w="1817" w:type="dxa"/>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20%</w:t>
            </w:r>
          </w:p>
        </w:tc>
      </w:tr>
      <w:tr w:rsidR="007E313B" w:rsidRPr="007E313B" w:rsidTr="00901FF1">
        <w:trPr>
          <w:trHeight w:val="300"/>
        </w:trPr>
        <w:tc>
          <w:tcPr>
            <w:tcW w:w="3052" w:type="dxa"/>
            <w:tcBorders>
              <w:bottom w:val="single" w:sz="4" w:space="0" w:color="auto"/>
              <w:right w:val="single" w:sz="4" w:space="0" w:color="auto"/>
            </w:tcBorders>
            <w:noWrap/>
            <w:hideMark/>
          </w:tcPr>
          <w:p w:rsidR="007E313B" w:rsidRPr="007E313B" w:rsidRDefault="007E313B" w:rsidP="007E313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All Other Local Authorities (</w:t>
            </w:r>
            <w:r w:rsidR="00901FF1">
              <w:rPr>
                <w:rFonts w:ascii="Calibri" w:eastAsia="Times New Roman" w:hAnsi="Calibri" w:cs="Times New Roman"/>
                <w:color w:val="000000"/>
                <w:lang w:eastAsia="en-GB"/>
              </w:rPr>
              <w:t>n=</w:t>
            </w:r>
            <w:r w:rsidRPr="007E313B">
              <w:rPr>
                <w:rFonts w:ascii="Calibri" w:eastAsia="Times New Roman" w:hAnsi="Calibri" w:cs="Times New Roman"/>
                <w:color w:val="000000"/>
                <w:lang w:eastAsia="en-GB"/>
              </w:rPr>
              <w:t>24)</w:t>
            </w:r>
          </w:p>
        </w:tc>
        <w:tc>
          <w:tcPr>
            <w:tcW w:w="1520" w:type="dxa"/>
            <w:tcBorders>
              <w:left w:val="single" w:sz="4" w:space="0" w:color="auto"/>
              <w:bottom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2,209</w:t>
            </w:r>
          </w:p>
        </w:tc>
        <w:tc>
          <w:tcPr>
            <w:tcW w:w="1300" w:type="dxa"/>
            <w:tcBorders>
              <w:bottom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456,461</w:t>
            </w:r>
          </w:p>
        </w:tc>
        <w:tc>
          <w:tcPr>
            <w:tcW w:w="1817" w:type="dxa"/>
            <w:tcBorders>
              <w:bottom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21%</w:t>
            </w:r>
          </w:p>
        </w:tc>
      </w:tr>
      <w:tr w:rsidR="007E313B" w:rsidRPr="007E313B" w:rsidTr="007E1772">
        <w:trPr>
          <w:trHeight w:val="300"/>
        </w:trPr>
        <w:tc>
          <w:tcPr>
            <w:tcW w:w="3052" w:type="dxa"/>
            <w:tcBorders>
              <w:top w:val="single" w:sz="4" w:space="0" w:color="auto"/>
              <w:bottom w:val="single" w:sz="4" w:space="0" w:color="auto"/>
              <w:right w:val="single" w:sz="4" w:space="0" w:color="auto"/>
            </w:tcBorders>
            <w:noWrap/>
            <w:hideMark/>
          </w:tcPr>
          <w:p w:rsidR="007E313B" w:rsidRPr="007E313B" w:rsidRDefault="007E313B" w:rsidP="007E313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Total</w:t>
            </w:r>
          </w:p>
        </w:tc>
        <w:tc>
          <w:tcPr>
            <w:tcW w:w="1520" w:type="dxa"/>
            <w:tcBorders>
              <w:top w:val="single" w:sz="4" w:space="0" w:color="auto"/>
              <w:left w:val="single" w:sz="4" w:space="0" w:color="auto"/>
              <w:bottom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7,705</w:t>
            </w:r>
          </w:p>
        </w:tc>
        <w:tc>
          <w:tcPr>
            <w:tcW w:w="1300" w:type="dxa"/>
            <w:tcBorders>
              <w:top w:val="single" w:sz="4" w:space="0" w:color="auto"/>
              <w:bottom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2,128,182</w:t>
            </w:r>
          </w:p>
        </w:tc>
        <w:tc>
          <w:tcPr>
            <w:tcW w:w="1817" w:type="dxa"/>
            <w:tcBorders>
              <w:top w:val="single" w:sz="4" w:space="0" w:color="auto"/>
              <w:bottom w:val="single" w:sz="4" w:space="0" w:color="auto"/>
            </w:tcBorders>
            <w:noWrap/>
            <w:hideMark/>
          </w:tcPr>
          <w:p w:rsidR="007E313B" w:rsidRPr="007E313B" w:rsidRDefault="007E313B" w:rsidP="0037795B">
            <w:pPr>
              <w:rPr>
                <w:rFonts w:ascii="Calibri" w:eastAsia="Times New Roman" w:hAnsi="Calibri" w:cs="Times New Roman"/>
                <w:color w:val="000000"/>
                <w:lang w:eastAsia="en-GB"/>
              </w:rPr>
            </w:pPr>
            <w:r w:rsidRPr="007E313B">
              <w:rPr>
                <w:rFonts w:ascii="Calibri" w:eastAsia="Times New Roman" w:hAnsi="Calibri" w:cs="Times New Roman"/>
                <w:color w:val="000000"/>
                <w:lang w:eastAsia="en-GB"/>
              </w:rPr>
              <w:t>100%</w:t>
            </w:r>
          </w:p>
        </w:tc>
      </w:tr>
    </w:tbl>
    <w:p w:rsidR="007E313B" w:rsidRDefault="007E313B" w:rsidP="001736C0">
      <w:r>
        <w:fldChar w:fldCharType="end"/>
      </w:r>
    </w:p>
    <w:p w:rsidR="00901FF1" w:rsidRDefault="00901FF1" w:rsidP="00901FF1">
      <w:r>
        <w:t>Figures 17 to 20 show the distribution of activity</w:t>
      </w:r>
      <w:r w:rsidR="006227F7">
        <w:t xml:space="preserve"> overall and broken down</w:t>
      </w:r>
      <w:r>
        <w:t xml:space="preserve"> by type</w:t>
      </w:r>
      <w:r w:rsidR="006227F7">
        <w:t xml:space="preserve"> </w:t>
      </w:r>
      <w:r>
        <w:t>during 2013/14 by Local Authority area.</w:t>
      </w:r>
      <w:r w:rsidR="006227F7">
        <w:t xml:space="preserve">  Participation based activity was delivered at the largest number of unique venues, reflecting its more mobile nature.  Conversely, exhibition based activity tended to be more static; dependent on resources within fixed venues.</w:t>
      </w:r>
    </w:p>
    <w:p w:rsidR="00901FF1" w:rsidRDefault="00901FF1" w:rsidP="001736C0"/>
    <w:p w:rsidR="00901FF1" w:rsidRDefault="00901FF1" w:rsidP="001736C0"/>
    <w:p w:rsidR="00421655" w:rsidRPr="001736C0" w:rsidRDefault="00421655" w:rsidP="001736C0"/>
    <w:p w:rsidR="00792A25" w:rsidRDefault="00792A25">
      <w:pPr>
        <w:spacing w:after="200"/>
        <w:rPr>
          <w:rFonts w:eastAsiaTheme="majorEastAsia" w:cstheme="majorBidi"/>
          <w:b/>
          <w:bCs/>
          <w:color w:val="000000" w:themeColor="text1"/>
          <w:sz w:val="24"/>
          <w:szCs w:val="26"/>
        </w:rPr>
      </w:pPr>
      <w:r>
        <w:br w:type="page"/>
      </w:r>
    </w:p>
    <w:p w:rsidR="00A1570B" w:rsidRDefault="00A1570B">
      <w:pPr>
        <w:spacing w:after="200"/>
        <w:sectPr w:rsidR="00A1570B" w:rsidSect="00216B68">
          <w:footerReference w:type="default" r:id="rId22"/>
          <w:pgSz w:w="11906" w:h="16838"/>
          <w:pgMar w:top="1440" w:right="1558" w:bottom="1440" w:left="1440" w:header="708" w:footer="708" w:gutter="0"/>
          <w:cols w:space="708"/>
          <w:titlePg/>
          <w:docGrid w:linePitch="360"/>
        </w:sectPr>
      </w:pPr>
    </w:p>
    <w:p w:rsidR="00A1570B" w:rsidRPr="00A1570B" w:rsidRDefault="00A1570B" w:rsidP="00A1570B">
      <w:pPr>
        <w:rPr>
          <w:b/>
          <w:bCs/>
        </w:rPr>
      </w:pPr>
      <w:r w:rsidRPr="00A1570B">
        <w:rPr>
          <w:b/>
          <w:bCs/>
        </w:rPr>
        <w:lastRenderedPageBreak/>
        <w:t xml:space="preserve">Figure </w:t>
      </w:r>
      <w:r w:rsidRPr="00A1570B">
        <w:rPr>
          <w:b/>
          <w:bCs/>
        </w:rPr>
        <w:fldChar w:fldCharType="begin"/>
      </w:r>
      <w:r w:rsidRPr="00A1570B">
        <w:rPr>
          <w:b/>
          <w:bCs/>
        </w:rPr>
        <w:instrText xml:space="preserve"> SEQ Figure \* ARABIC </w:instrText>
      </w:r>
      <w:r w:rsidRPr="00A1570B">
        <w:rPr>
          <w:b/>
          <w:bCs/>
        </w:rPr>
        <w:fldChar w:fldCharType="separate"/>
      </w:r>
      <w:r w:rsidR="00875985">
        <w:rPr>
          <w:b/>
          <w:bCs/>
          <w:noProof/>
        </w:rPr>
        <w:t>15</w:t>
      </w:r>
      <w:r w:rsidRPr="00A1570B">
        <w:fldChar w:fldCharType="end"/>
      </w:r>
      <w:r w:rsidRPr="00A1570B">
        <w:rPr>
          <w:b/>
          <w:bCs/>
        </w:rPr>
        <w:t xml:space="preserve">: </w:t>
      </w:r>
      <w:r w:rsidRPr="00A1570B">
        <w:rPr>
          <w:bCs/>
        </w:rPr>
        <w:t>Distribution of all Regularly Funded Organisation activity (N=7,705)</w:t>
      </w:r>
    </w:p>
    <w:p w:rsidR="00A1570B" w:rsidRPr="00A1570B" w:rsidRDefault="00A1570B" w:rsidP="00A1570B">
      <w:pPr>
        <w:spacing w:after="200"/>
      </w:pPr>
      <w:r w:rsidRPr="00A1570B">
        <w:rPr>
          <w:noProof/>
          <w:lang w:eastAsia="en-GB"/>
        </w:rPr>
        <w:drawing>
          <wp:inline distT="0" distB="0" distL="0" distR="0" wp14:anchorId="3BC62960" wp14:editId="3C2E27B5">
            <wp:extent cx="7609524" cy="5447619"/>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organisations mapped.bmp"/>
                    <pic:cNvPicPr/>
                  </pic:nvPicPr>
                  <pic:blipFill>
                    <a:blip r:embed="rId23">
                      <a:extLst>
                        <a:ext uri="{28A0092B-C50C-407E-A947-70E740481C1C}">
                          <a14:useLocalDpi xmlns:a14="http://schemas.microsoft.com/office/drawing/2010/main" val="0"/>
                        </a:ext>
                      </a:extLst>
                    </a:blip>
                    <a:stretch>
                      <a:fillRect/>
                    </a:stretch>
                  </pic:blipFill>
                  <pic:spPr>
                    <a:xfrm>
                      <a:off x="0" y="0"/>
                      <a:ext cx="7609524" cy="5447619"/>
                    </a:xfrm>
                    <a:prstGeom prst="rect">
                      <a:avLst/>
                    </a:prstGeom>
                  </pic:spPr>
                </pic:pic>
              </a:graphicData>
            </a:graphic>
          </wp:inline>
        </w:drawing>
      </w:r>
    </w:p>
    <w:p w:rsidR="00A1570B" w:rsidRPr="00A1570B" w:rsidRDefault="00A1570B" w:rsidP="00A1570B">
      <w:pPr>
        <w:spacing w:after="200"/>
        <w:rPr>
          <w:b/>
          <w:bCs/>
        </w:rPr>
      </w:pPr>
      <w:r w:rsidRPr="00A1570B">
        <w:rPr>
          <w:b/>
          <w:bCs/>
        </w:rPr>
        <w:lastRenderedPageBreak/>
        <w:t xml:space="preserve">Figure </w:t>
      </w:r>
      <w:r w:rsidRPr="00A1570B">
        <w:rPr>
          <w:b/>
          <w:bCs/>
        </w:rPr>
        <w:fldChar w:fldCharType="begin"/>
      </w:r>
      <w:r w:rsidRPr="00A1570B">
        <w:rPr>
          <w:b/>
          <w:bCs/>
        </w:rPr>
        <w:instrText xml:space="preserve"> SEQ Figure \* ARABIC </w:instrText>
      </w:r>
      <w:r w:rsidRPr="00A1570B">
        <w:rPr>
          <w:b/>
          <w:bCs/>
        </w:rPr>
        <w:fldChar w:fldCharType="separate"/>
      </w:r>
      <w:r w:rsidR="00875985">
        <w:rPr>
          <w:b/>
          <w:bCs/>
          <w:noProof/>
        </w:rPr>
        <w:t>16</w:t>
      </w:r>
      <w:r w:rsidRPr="00A1570B">
        <w:fldChar w:fldCharType="end"/>
      </w:r>
      <w:r w:rsidRPr="00A1570B">
        <w:rPr>
          <w:b/>
          <w:bCs/>
        </w:rPr>
        <w:t xml:space="preserve">: </w:t>
      </w:r>
      <w:r w:rsidRPr="00A1570B">
        <w:rPr>
          <w:bCs/>
        </w:rPr>
        <w:t>Distribution of participation based activity (N=4,093)</w:t>
      </w:r>
    </w:p>
    <w:p w:rsidR="00A1570B" w:rsidRPr="00A1570B" w:rsidRDefault="00A1570B" w:rsidP="00A1570B">
      <w:pPr>
        <w:spacing w:after="200"/>
      </w:pPr>
      <w:r w:rsidRPr="00A1570B">
        <w:rPr>
          <w:noProof/>
          <w:lang w:eastAsia="en-GB"/>
        </w:rPr>
        <w:drawing>
          <wp:inline distT="0" distB="0" distL="0" distR="0" wp14:anchorId="51B630CE" wp14:editId="557B37CF">
            <wp:extent cx="7220607" cy="516919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participation mapped.bmp"/>
                    <pic:cNvPicPr/>
                  </pic:nvPicPr>
                  <pic:blipFill>
                    <a:blip r:embed="rId24">
                      <a:extLst>
                        <a:ext uri="{28A0092B-C50C-407E-A947-70E740481C1C}">
                          <a14:useLocalDpi xmlns:a14="http://schemas.microsoft.com/office/drawing/2010/main" val="0"/>
                        </a:ext>
                      </a:extLst>
                    </a:blip>
                    <a:stretch>
                      <a:fillRect/>
                    </a:stretch>
                  </pic:blipFill>
                  <pic:spPr>
                    <a:xfrm>
                      <a:off x="0" y="0"/>
                      <a:ext cx="7230627" cy="5176368"/>
                    </a:xfrm>
                    <a:prstGeom prst="rect">
                      <a:avLst/>
                    </a:prstGeom>
                  </pic:spPr>
                </pic:pic>
              </a:graphicData>
            </a:graphic>
          </wp:inline>
        </w:drawing>
      </w:r>
    </w:p>
    <w:p w:rsidR="00A1570B" w:rsidRPr="00A1570B" w:rsidRDefault="00A1570B" w:rsidP="00A1570B">
      <w:pPr>
        <w:spacing w:after="200"/>
        <w:rPr>
          <w:bCs/>
        </w:rPr>
      </w:pPr>
      <w:r w:rsidRPr="00A1570B">
        <w:rPr>
          <w:b/>
          <w:bCs/>
        </w:rPr>
        <w:lastRenderedPageBreak/>
        <w:t xml:space="preserve">Figure </w:t>
      </w:r>
      <w:r w:rsidRPr="00A1570B">
        <w:rPr>
          <w:b/>
          <w:bCs/>
        </w:rPr>
        <w:fldChar w:fldCharType="begin"/>
      </w:r>
      <w:r w:rsidRPr="00A1570B">
        <w:rPr>
          <w:b/>
          <w:bCs/>
        </w:rPr>
        <w:instrText xml:space="preserve"> SEQ Figure \* ARABIC </w:instrText>
      </w:r>
      <w:r w:rsidRPr="00A1570B">
        <w:rPr>
          <w:b/>
          <w:bCs/>
        </w:rPr>
        <w:fldChar w:fldCharType="separate"/>
      </w:r>
      <w:r w:rsidR="00875985">
        <w:rPr>
          <w:b/>
          <w:bCs/>
          <w:noProof/>
        </w:rPr>
        <w:t>17</w:t>
      </w:r>
      <w:r w:rsidRPr="00A1570B">
        <w:fldChar w:fldCharType="end"/>
      </w:r>
      <w:r w:rsidRPr="00A1570B">
        <w:rPr>
          <w:b/>
          <w:bCs/>
        </w:rPr>
        <w:t xml:space="preserve">: </w:t>
      </w:r>
      <w:r w:rsidRPr="00A1570B">
        <w:rPr>
          <w:bCs/>
        </w:rPr>
        <w:t>Distribution of exhibition activity (N=194)</w:t>
      </w:r>
    </w:p>
    <w:p w:rsidR="00A1570B" w:rsidRPr="00A1570B" w:rsidRDefault="00A1570B" w:rsidP="00A1570B">
      <w:pPr>
        <w:spacing w:after="200"/>
      </w:pPr>
      <w:r w:rsidRPr="00A1570B">
        <w:rPr>
          <w:noProof/>
          <w:lang w:eastAsia="en-GB"/>
        </w:rPr>
        <w:drawing>
          <wp:inline distT="0" distB="0" distL="0" distR="0" wp14:anchorId="7318EC65" wp14:editId="1E31C39F">
            <wp:extent cx="7320584" cy="526568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exhibitions mapped.bmp"/>
                    <pic:cNvPicPr/>
                  </pic:nvPicPr>
                  <pic:blipFill>
                    <a:blip r:embed="rId25">
                      <a:extLst>
                        <a:ext uri="{28A0092B-C50C-407E-A947-70E740481C1C}">
                          <a14:useLocalDpi xmlns:a14="http://schemas.microsoft.com/office/drawing/2010/main" val="0"/>
                        </a:ext>
                      </a:extLst>
                    </a:blip>
                    <a:stretch>
                      <a:fillRect/>
                    </a:stretch>
                  </pic:blipFill>
                  <pic:spPr>
                    <a:xfrm>
                      <a:off x="0" y="0"/>
                      <a:ext cx="7336417" cy="5277072"/>
                    </a:xfrm>
                    <a:prstGeom prst="rect">
                      <a:avLst/>
                    </a:prstGeom>
                  </pic:spPr>
                </pic:pic>
              </a:graphicData>
            </a:graphic>
          </wp:inline>
        </w:drawing>
      </w:r>
    </w:p>
    <w:p w:rsidR="00A1570B" w:rsidRPr="00A1570B" w:rsidRDefault="00A1570B" w:rsidP="00A1570B">
      <w:pPr>
        <w:spacing w:after="200"/>
        <w:rPr>
          <w:b/>
          <w:bCs/>
        </w:rPr>
      </w:pPr>
      <w:r w:rsidRPr="00A1570B">
        <w:rPr>
          <w:b/>
          <w:bCs/>
        </w:rPr>
        <w:lastRenderedPageBreak/>
        <w:t xml:space="preserve">Figure </w:t>
      </w:r>
      <w:r w:rsidRPr="00A1570B">
        <w:rPr>
          <w:b/>
          <w:bCs/>
        </w:rPr>
        <w:fldChar w:fldCharType="begin"/>
      </w:r>
      <w:r w:rsidRPr="00A1570B">
        <w:rPr>
          <w:b/>
          <w:bCs/>
        </w:rPr>
        <w:instrText xml:space="preserve"> SEQ Figure \* ARABIC </w:instrText>
      </w:r>
      <w:r w:rsidRPr="00A1570B">
        <w:rPr>
          <w:b/>
          <w:bCs/>
        </w:rPr>
        <w:fldChar w:fldCharType="separate"/>
      </w:r>
      <w:r w:rsidR="00875985">
        <w:rPr>
          <w:b/>
          <w:bCs/>
          <w:noProof/>
        </w:rPr>
        <w:t>18</w:t>
      </w:r>
      <w:r w:rsidRPr="00A1570B">
        <w:fldChar w:fldCharType="end"/>
      </w:r>
      <w:r w:rsidRPr="00A1570B">
        <w:rPr>
          <w:b/>
          <w:bCs/>
        </w:rPr>
        <w:t xml:space="preserve">: </w:t>
      </w:r>
      <w:r w:rsidRPr="00A1570B">
        <w:rPr>
          <w:bCs/>
        </w:rPr>
        <w:t>Distribution of production</w:t>
      </w:r>
      <w:r w:rsidR="006227F7">
        <w:rPr>
          <w:bCs/>
        </w:rPr>
        <w:t xml:space="preserve"> (performance)</w:t>
      </w:r>
      <w:r w:rsidRPr="00A1570B">
        <w:rPr>
          <w:bCs/>
        </w:rPr>
        <w:t xml:space="preserve"> based activity (N=3,418)</w:t>
      </w:r>
    </w:p>
    <w:p w:rsidR="00A1570B" w:rsidRDefault="00A1570B">
      <w:pPr>
        <w:spacing w:after="200"/>
        <w:sectPr w:rsidR="00A1570B" w:rsidSect="00A1570B">
          <w:pgSz w:w="16838" w:h="11906" w:orient="landscape"/>
          <w:pgMar w:top="1440" w:right="1440" w:bottom="1559" w:left="1440" w:header="708" w:footer="708" w:gutter="0"/>
          <w:cols w:space="708"/>
          <w:docGrid w:linePitch="360"/>
        </w:sectPr>
      </w:pPr>
      <w:r w:rsidRPr="00A1570B">
        <w:rPr>
          <w:noProof/>
          <w:lang w:eastAsia="en-GB"/>
        </w:rPr>
        <w:drawing>
          <wp:inline distT="0" distB="0" distL="0" distR="0" wp14:anchorId="762A7803" wp14:editId="564AEF58">
            <wp:extent cx="7315200" cy="5230368"/>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performance mapped.bmp"/>
                    <pic:cNvPicPr/>
                  </pic:nvPicPr>
                  <pic:blipFill>
                    <a:blip r:embed="rId26">
                      <a:extLst>
                        <a:ext uri="{28A0092B-C50C-407E-A947-70E740481C1C}">
                          <a14:useLocalDpi xmlns:a14="http://schemas.microsoft.com/office/drawing/2010/main" val="0"/>
                        </a:ext>
                      </a:extLst>
                    </a:blip>
                    <a:stretch>
                      <a:fillRect/>
                    </a:stretch>
                  </pic:blipFill>
                  <pic:spPr>
                    <a:xfrm>
                      <a:off x="0" y="0"/>
                      <a:ext cx="7305477" cy="5223416"/>
                    </a:xfrm>
                    <a:prstGeom prst="rect">
                      <a:avLst/>
                    </a:prstGeom>
                  </pic:spPr>
                </pic:pic>
              </a:graphicData>
            </a:graphic>
          </wp:inline>
        </w:drawing>
      </w:r>
    </w:p>
    <w:p w:rsidR="00A1570B" w:rsidRPr="00A1570B" w:rsidRDefault="00A1570B">
      <w:pPr>
        <w:spacing w:after="200"/>
      </w:pPr>
    </w:p>
    <w:p w:rsidR="002D0B12" w:rsidRPr="00D305D4" w:rsidRDefault="002D0B12" w:rsidP="008A02EC">
      <w:pPr>
        <w:pStyle w:val="Heading2"/>
      </w:pPr>
      <w:bookmarkStart w:id="35" w:name="_Toc403986360"/>
      <w:r w:rsidRPr="00D305D4">
        <w:t>Deprivation</w:t>
      </w:r>
      <w:bookmarkEnd w:id="35"/>
    </w:p>
    <w:p w:rsidR="008A02EC" w:rsidRDefault="008A02EC" w:rsidP="002D0B12"/>
    <w:p w:rsidR="006227F7" w:rsidRDefault="002D0B12" w:rsidP="002D0B12">
      <w:r>
        <w:t xml:space="preserve">The Multiple Deprivation Measure (MDM) is the official measure of area based multiple deprivation used in Northern Ireland.  The 2010 index (used here) is comprised of 52 indicators mostly relating to </w:t>
      </w:r>
      <w:r w:rsidR="006227F7">
        <w:t xml:space="preserve">data collected </w:t>
      </w:r>
      <w:proofErr w:type="gramStart"/>
      <w:r w:rsidR="006227F7">
        <w:t>between</w:t>
      </w:r>
      <w:r>
        <w:t xml:space="preserve"> 2007-2009</w:t>
      </w:r>
      <w:proofErr w:type="gramEnd"/>
      <w:r>
        <w:t>.  The indicators are grouped into seven types or ‘domains’ of deprivation which are then weighted</w:t>
      </w:r>
      <w:r w:rsidR="006227F7">
        <w:t>.</w:t>
      </w:r>
      <w:r w:rsidR="006227F7">
        <w:rPr>
          <w:rStyle w:val="FootnoteReference"/>
        </w:rPr>
        <w:footnoteReference w:id="5"/>
      </w:r>
      <w:r>
        <w:t xml:space="preserve">  </w:t>
      </w:r>
    </w:p>
    <w:p w:rsidR="008A02EC" w:rsidRDefault="008A02EC" w:rsidP="002D0B12"/>
    <w:p w:rsidR="002D0B12" w:rsidRDefault="00316E39" w:rsidP="002D0B12">
      <w:r>
        <w:t>Figure 15</w:t>
      </w:r>
      <w:r w:rsidR="002D0B12">
        <w:t xml:space="preserve"> shows the distribution of activity by Multiple Deprivation.  The extent or severity of deprivation is divided into ten equal parts </w:t>
      </w:r>
      <w:r w:rsidR="009C5824">
        <w:t>(</w:t>
      </w:r>
      <w:r w:rsidR="002D0B12">
        <w:t>or decile</w:t>
      </w:r>
      <w:r w:rsidR="009C5824">
        <w:t>)</w:t>
      </w:r>
      <w:r w:rsidR="002D0B12">
        <w:t xml:space="preserve">, ranging from the most </w:t>
      </w:r>
      <w:r w:rsidR="009C5824">
        <w:t>deprived to the least deprived</w:t>
      </w:r>
      <w:r w:rsidR="002D0B12">
        <w:t xml:space="preserve">.   The extent of activity taking place in each of these areas is shown in percentages.  </w:t>
      </w:r>
    </w:p>
    <w:p w:rsidR="00316E39" w:rsidRDefault="00316E39" w:rsidP="002D0B12"/>
    <w:p w:rsidR="00316E39" w:rsidRPr="000F2529" w:rsidRDefault="00316E39" w:rsidP="00316E39">
      <w:pPr>
        <w:pStyle w:val="Caption"/>
        <w:rPr>
          <w:b w:val="0"/>
        </w:rPr>
      </w:pPr>
      <w:bookmarkStart w:id="36" w:name="_Toc402964771"/>
      <w:r>
        <w:t xml:space="preserve">Figure </w:t>
      </w:r>
      <w:r w:rsidR="00D3437B">
        <w:fldChar w:fldCharType="begin"/>
      </w:r>
      <w:r w:rsidR="00D3437B">
        <w:instrText xml:space="preserve"> SEQ Figure \* ARABIC </w:instrText>
      </w:r>
      <w:r w:rsidR="00D3437B">
        <w:fldChar w:fldCharType="separate"/>
      </w:r>
      <w:r w:rsidR="00875985">
        <w:rPr>
          <w:noProof/>
        </w:rPr>
        <w:t>19</w:t>
      </w:r>
      <w:r w:rsidR="00D3437B">
        <w:rPr>
          <w:noProof/>
        </w:rPr>
        <w:fldChar w:fldCharType="end"/>
      </w:r>
      <w:r>
        <w:t xml:space="preserve">: </w:t>
      </w:r>
      <w:r w:rsidRPr="000F2529">
        <w:rPr>
          <w:b w:val="0"/>
        </w:rPr>
        <w:t>Distribution of activity of Multiple Depr</w:t>
      </w:r>
      <w:r>
        <w:rPr>
          <w:b w:val="0"/>
        </w:rPr>
        <w:t>ivation Measure, 2013 (N=7,705)</w:t>
      </w:r>
      <w:bookmarkEnd w:id="36"/>
    </w:p>
    <w:p w:rsidR="008A02EC" w:rsidRDefault="00316E39" w:rsidP="002D0B12">
      <w:r>
        <w:rPr>
          <w:noProof/>
          <w:lang w:eastAsia="en-GB"/>
        </w:rPr>
        <w:drawing>
          <wp:inline distT="0" distB="0" distL="0" distR="0" wp14:anchorId="13CCDE29" wp14:editId="3573808B">
            <wp:extent cx="5655945" cy="2496486"/>
            <wp:effectExtent l="0" t="0" r="190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16E39" w:rsidRDefault="00316E39" w:rsidP="002D0B12"/>
    <w:p w:rsidR="009C5824" w:rsidRDefault="002D0B12" w:rsidP="002D0B12">
      <w:r>
        <w:t>Overall</w:t>
      </w:r>
      <w:r w:rsidR="009C5824">
        <w:t>,</w:t>
      </w:r>
      <w:r>
        <w:t xml:space="preserve"> 50 percent of</w:t>
      </w:r>
      <w:r w:rsidR="009C5824">
        <w:t xml:space="preserve"> all</w:t>
      </w:r>
      <w:r>
        <w:t xml:space="preserve"> activity took place in the most deprived areas of Northern Ireland.  By activity type, this ranged from 41 percent (participation) to 75 percent (exhibitions).  </w:t>
      </w:r>
    </w:p>
    <w:p w:rsidR="009C5824" w:rsidRDefault="009C5824" w:rsidP="002D0B12"/>
    <w:p w:rsidR="002D0B12" w:rsidRDefault="009C5824" w:rsidP="002D0B12">
      <w:r>
        <w:t>T</w:t>
      </w:r>
      <w:r w:rsidR="002D0B12">
        <w:t>he static nature of p</w:t>
      </w:r>
      <w:r>
        <w:t>erformance and exhibition venues</w:t>
      </w:r>
      <w:r w:rsidR="002D0B12">
        <w:t xml:space="preserve">, a significant proportion of which are located within deprived, urban areas, means </w:t>
      </w:r>
      <w:r>
        <w:t>activity</w:t>
      </w:r>
      <w:r w:rsidR="002D0B12">
        <w:t xml:space="preserve"> tend</w:t>
      </w:r>
      <w:r>
        <w:t>s</w:t>
      </w:r>
      <w:r w:rsidR="002D0B12">
        <w:t xml:space="preserve"> to be skewed towards these areas.  Participation based activity, by</w:t>
      </w:r>
      <w:r>
        <w:t xml:space="preserve"> its very nature is more mobile</w:t>
      </w:r>
      <w:r w:rsidR="002D0B12">
        <w:t xml:space="preserve"> </w:t>
      </w:r>
      <w:r>
        <w:t>and delivered</w:t>
      </w:r>
      <w:r w:rsidR="002D0B12">
        <w:t xml:space="preserve"> in locations such as hospitals, community centres and village halls.     </w:t>
      </w:r>
    </w:p>
    <w:p w:rsidR="002D0B12" w:rsidRDefault="002D0B12" w:rsidP="002D0B12"/>
    <w:p w:rsidR="002D0B12" w:rsidRDefault="00D424DE" w:rsidP="002D0B12">
      <w:r>
        <w:t>Table 1</w:t>
      </w:r>
      <w:r w:rsidR="00700A46">
        <w:t>3</w:t>
      </w:r>
      <w:r w:rsidR="002D0B12">
        <w:t xml:space="preserve"> shows the distribution</w:t>
      </w:r>
      <w:r w:rsidR="00700A46">
        <w:t xml:space="preserve"> of engagement by deprivation in percentage terms.  Overall, 61 </w:t>
      </w:r>
      <w:r w:rsidR="002D0B12">
        <w:t xml:space="preserve">percent of </w:t>
      </w:r>
      <w:r w:rsidR="00700A46">
        <w:t>engagement took place</w:t>
      </w:r>
      <w:r w:rsidR="002D0B12">
        <w:t xml:space="preserve"> within the most deprived decile</w:t>
      </w:r>
      <w:r w:rsidR="00700A46">
        <w:t xml:space="preserve"> or 10 percent of Wards.</w:t>
      </w:r>
    </w:p>
    <w:p w:rsidR="000F2529" w:rsidRDefault="000F2529" w:rsidP="002D0B12"/>
    <w:p w:rsidR="009C5824" w:rsidRDefault="009C5824" w:rsidP="002D0B12"/>
    <w:p w:rsidR="009C5824" w:rsidRDefault="009C5824" w:rsidP="002D0B12"/>
    <w:p w:rsidR="009C5824" w:rsidRDefault="009C5824" w:rsidP="002D0B12"/>
    <w:p w:rsidR="009C5824" w:rsidRDefault="009C5824" w:rsidP="002D0B12"/>
    <w:p w:rsidR="002D0B12" w:rsidRDefault="000F2529" w:rsidP="000F2529">
      <w:pPr>
        <w:pStyle w:val="Caption"/>
      </w:pPr>
      <w:r>
        <w:t xml:space="preserve">Table </w:t>
      </w:r>
      <w:r w:rsidR="00D3437B">
        <w:fldChar w:fldCharType="begin"/>
      </w:r>
      <w:r w:rsidR="00D3437B">
        <w:instrText xml:space="preserve"> SEQ Table \* ARABIC </w:instrText>
      </w:r>
      <w:r w:rsidR="00D3437B">
        <w:fldChar w:fldCharType="separate"/>
      </w:r>
      <w:r w:rsidR="00875985">
        <w:rPr>
          <w:noProof/>
        </w:rPr>
        <w:t>13</w:t>
      </w:r>
      <w:r w:rsidR="00D3437B">
        <w:rPr>
          <w:noProof/>
        </w:rPr>
        <w:fldChar w:fldCharType="end"/>
      </w:r>
      <w:r>
        <w:t xml:space="preserve">: </w:t>
      </w:r>
      <w:r w:rsidRPr="000F2529">
        <w:rPr>
          <w:b w:val="0"/>
        </w:rPr>
        <w:t>Distribution of audiences by Multiple Deprivation Measure</w:t>
      </w:r>
      <w:r w:rsidR="002D0B12">
        <w:fldChar w:fldCharType="begin"/>
      </w:r>
      <w:r w:rsidR="002D0B12">
        <w:instrText xml:space="preserve"> LINK Excel.Sheet.12 "\\\\fs0.acninet.local\\Staff\\gstevenson\\Book1 map.xlsx" "Sheet1!R106C4:R117C8" \a \f 4 \h </w:instrText>
      </w:r>
      <w:r>
        <w:instrText xml:space="preserve"> \* MERGEFORMAT </w:instrText>
      </w:r>
      <w:r w:rsidR="002D0B12">
        <w:fldChar w:fldCharType="separate"/>
      </w:r>
    </w:p>
    <w:tbl>
      <w:tblPr>
        <w:tblStyle w:val="RFOTableFormat"/>
        <w:tblW w:w="6518" w:type="dxa"/>
        <w:tblInd w:w="108" w:type="dxa"/>
        <w:tblLook w:val="04A0" w:firstRow="1" w:lastRow="0" w:firstColumn="1" w:lastColumn="0" w:noHBand="0" w:noVBand="1"/>
      </w:tblPr>
      <w:tblGrid>
        <w:gridCol w:w="2252"/>
        <w:gridCol w:w="1420"/>
        <w:gridCol w:w="1380"/>
        <w:gridCol w:w="1466"/>
      </w:tblGrid>
      <w:tr w:rsidR="00700A46" w:rsidRPr="00E41496" w:rsidTr="00700A46">
        <w:trPr>
          <w:cnfStyle w:val="100000000000" w:firstRow="1" w:lastRow="0" w:firstColumn="0" w:lastColumn="0" w:oddVBand="0" w:evenVBand="0" w:oddHBand="0" w:evenHBand="0" w:firstRowFirstColumn="0" w:firstRowLastColumn="0" w:lastRowFirstColumn="0" w:lastRowLastColumn="0"/>
          <w:trHeight w:val="1200"/>
        </w:trPr>
        <w:tc>
          <w:tcPr>
            <w:tcW w:w="2252" w:type="dxa"/>
            <w:hideMark/>
          </w:tcPr>
          <w:p w:rsidR="00700A46" w:rsidRPr="00E41496" w:rsidRDefault="00700A46" w:rsidP="00B91132">
            <w:pPr>
              <w:rPr>
                <w:rFonts w:ascii="Calibri" w:eastAsia="Times New Roman" w:hAnsi="Calibri" w:cs="Times New Roman"/>
                <w:color w:val="000000"/>
                <w:lang w:eastAsia="en-GB"/>
              </w:rPr>
            </w:pPr>
            <w:proofErr w:type="spellStart"/>
            <w:r w:rsidRPr="00E41496">
              <w:rPr>
                <w:rFonts w:ascii="Calibri" w:eastAsia="Times New Roman" w:hAnsi="Calibri" w:cs="Times New Roman"/>
                <w:color w:val="000000"/>
                <w:lang w:eastAsia="en-GB"/>
              </w:rPr>
              <w:t>Decile</w:t>
            </w:r>
            <w:proofErr w:type="spellEnd"/>
            <w:r w:rsidRPr="00E41496">
              <w:rPr>
                <w:rFonts w:ascii="Calibri" w:eastAsia="Times New Roman" w:hAnsi="Calibri" w:cs="Times New Roman"/>
                <w:color w:val="000000"/>
                <w:lang w:eastAsia="en-GB"/>
              </w:rPr>
              <w:t xml:space="preserve"> of Multiple Deprivation Measure</w:t>
            </w:r>
          </w:p>
        </w:tc>
        <w:tc>
          <w:tcPr>
            <w:tcW w:w="1420" w:type="dxa"/>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Number of activities</w:t>
            </w:r>
          </w:p>
        </w:tc>
        <w:tc>
          <w:tcPr>
            <w:tcW w:w="1380" w:type="dxa"/>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Percentage of activity</w:t>
            </w:r>
          </w:p>
        </w:tc>
        <w:tc>
          <w:tcPr>
            <w:tcW w:w="1466" w:type="dxa"/>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Percentage of engagement</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Most Deprived: 1</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3,999</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50%</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61%</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2</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388</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5%</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6%</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3</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434</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5%</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5%</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4</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442</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6%</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6%</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5</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196</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2%</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2%</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6</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868</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11%</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4%</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7</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251</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3%</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2%</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8</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319</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4%</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1%</w:t>
            </w:r>
          </w:p>
        </w:tc>
      </w:tr>
      <w:tr w:rsidR="00700A46" w:rsidRPr="00E41496" w:rsidTr="00700A46">
        <w:trPr>
          <w:trHeight w:val="300"/>
        </w:trPr>
        <w:tc>
          <w:tcPr>
            <w:tcW w:w="2252"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9</w:t>
            </w:r>
          </w:p>
        </w:tc>
        <w:tc>
          <w:tcPr>
            <w:tcW w:w="142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298</w:t>
            </w:r>
          </w:p>
        </w:tc>
        <w:tc>
          <w:tcPr>
            <w:tcW w:w="1380"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4%</w:t>
            </w:r>
          </w:p>
        </w:tc>
        <w:tc>
          <w:tcPr>
            <w:tcW w:w="1466" w:type="dxa"/>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4%</w:t>
            </w:r>
          </w:p>
        </w:tc>
      </w:tr>
      <w:tr w:rsidR="00700A46" w:rsidRPr="00E41496" w:rsidTr="00700A46">
        <w:trPr>
          <w:trHeight w:val="300"/>
        </w:trPr>
        <w:tc>
          <w:tcPr>
            <w:tcW w:w="2252" w:type="dxa"/>
            <w:tcBorders>
              <w:bottom w:val="single" w:sz="4" w:space="0" w:color="auto"/>
            </w:tcBorders>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Least Deprived: 10</w:t>
            </w:r>
          </w:p>
        </w:tc>
        <w:tc>
          <w:tcPr>
            <w:tcW w:w="1420" w:type="dxa"/>
            <w:tcBorders>
              <w:bottom w:val="single" w:sz="4" w:space="0" w:color="auto"/>
            </w:tcBorders>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798</w:t>
            </w:r>
          </w:p>
        </w:tc>
        <w:tc>
          <w:tcPr>
            <w:tcW w:w="1380" w:type="dxa"/>
            <w:tcBorders>
              <w:bottom w:val="single" w:sz="4" w:space="0" w:color="auto"/>
            </w:tcBorders>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10%</w:t>
            </w:r>
          </w:p>
        </w:tc>
        <w:tc>
          <w:tcPr>
            <w:tcW w:w="1466" w:type="dxa"/>
            <w:tcBorders>
              <w:bottom w:val="single" w:sz="4" w:space="0" w:color="auto"/>
            </w:tcBorders>
            <w:noWrap/>
            <w:hideMark/>
          </w:tcPr>
          <w:p w:rsidR="00700A46" w:rsidRPr="00E41496" w:rsidRDefault="00700A46" w:rsidP="00B91132">
            <w:pPr>
              <w:rPr>
                <w:rFonts w:ascii="Calibri" w:eastAsia="Times New Roman" w:hAnsi="Calibri" w:cs="Times New Roman"/>
                <w:color w:val="000000"/>
                <w:lang w:eastAsia="en-GB"/>
              </w:rPr>
            </w:pPr>
            <w:r w:rsidRPr="00E41496">
              <w:rPr>
                <w:rFonts w:ascii="Calibri" w:eastAsia="Times New Roman" w:hAnsi="Calibri" w:cs="Times New Roman"/>
                <w:color w:val="000000"/>
                <w:lang w:eastAsia="en-GB"/>
              </w:rPr>
              <w:t>7%</w:t>
            </w:r>
          </w:p>
        </w:tc>
      </w:tr>
      <w:tr w:rsidR="00700A46" w:rsidRPr="000F2529" w:rsidTr="00700A46">
        <w:trPr>
          <w:trHeight w:val="300"/>
        </w:trPr>
        <w:tc>
          <w:tcPr>
            <w:tcW w:w="2252" w:type="dxa"/>
            <w:tcBorders>
              <w:top w:val="single" w:sz="4" w:space="0" w:color="auto"/>
              <w:bottom w:val="single" w:sz="4" w:space="0" w:color="auto"/>
            </w:tcBorders>
            <w:noWrap/>
            <w:hideMark/>
          </w:tcPr>
          <w:p w:rsidR="00700A46" w:rsidRPr="000F2529" w:rsidRDefault="00700A46" w:rsidP="00B91132">
            <w:pPr>
              <w:rPr>
                <w:rFonts w:ascii="Calibri" w:eastAsia="Times New Roman" w:hAnsi="Calibri" w:cs="Times New Roman"/>
                <w:b/>
                <w:color w:val="000000"/>
                <w:lang w:eastAsia="en-GB"/>
              </w:rPr>
            </w:pPr>
            <w:r w:rsidRPr="000F2529">
              <w:rPr>
                <w:rFonts w:ascii="Calibri" w:eastAsia="Times New Roman" w:hAnsi="Calibri" w:cs="Times New Roman"/>
                <w:b/>
                <w:color w:val="000000"/>
                <w:lang w:eastAsia="en-GB"/>
              </w:rPr>
              <w:t>Total</w:t>
            </w:r>
          </w:p>
        </w:tc>
        <w:tc>
          <w:tcPr>
            <w:tcW w:w="1420" w:type="dxa"/>
            <w:tcBorders>
              <w:top w:val="single" w:sz="4" w:space="0" w:color="auto"/>
              <w:bottom w:val="single" w:sz="4" w:space="0" w:color="auto"/>
            </w:tcBorders>
            <w:noWrap/>
            <w:hideMark/>
          </w:tcPr>
          <w:p w:rsidR="00700A46" w:rsidRPr="000F2529" w:rsidRDefault="00700A46" w:rsidP="00B91132">
            <w:pPr>
              <w:rPr>
                <w:rFonts w:ascii="Calibri" w:eastAsia="Times New Roman" w:hAnsi="Calibri" w:cs="Times New Roman"/>
                <w:b/>
                <w:color w:val="000000"/>
                <w:lang w:eastAsia="en-GB"/>
              </w:rPr>
            </w:pPr>
            <w:r w:rsidRPr="000F2529">
              <w:rPr>
                <w:rFonts w:ascii="Calibri" w:eastAsia="Times New Roman" w:hAnsi="Calibri" w:cs="Times New Roman"/>
                <w:b/>
                <w:color w:val="000000"/>
                <w:lang w:eastAsia="en-GB"/>
              </w:rPr>
              <w:t>7,993</w:t>
            </w:r>
          </w:p>
        </w:tc>
        <w:tc>
          <w:tcPr>
            <w:tcW w:w="1380" w:type="dxa"/>
            <w:tcBorders>
              <w:top w:val="single" w:sz="4" w:space="0" w:color="auto"/>
              <w:bottom w:val="single" w:sz="4" w:space="0" w:color="auto"/>
            </w:tcBorders>
            <w:noWrap/>
            <w:hideMark/>
          </w:tcPr>
          <w:p w:rsidR="00700A46" w:rsidRPr="000F2529" w:rsidRDefault="00700A46" w:rsidP="00B91132">
            <w:pPr>
              <w:rPr>
                <w:rFonts w:ascii="Calibri" w:eastAsia="Times New Roman" w:hAnsi="Calibri" w:cs="Times New Roman"/>
                <w:b/>
                <w:color w:val="000000"/>
                <w:lang w:eastAsia="en-GB"/>
              </w:rPr>
            </w:pPr>
            <w:r w:rsidRPr="000F2529">
              <w:rPr>
                <w:rFonts w:ascii="Calibri" w:eastAsia="Times New Roman" w:hAnsi="Calibri" w:cs="Times New Roman"/>
                <w:b/>
                <w:color w:val="000000"/>
                <w:lang w:eastAsia="en-GB"/>
              </w:rPr>
              <w:t>100%</w:t>
            </w:r>
          </w:p>
        </w:tc>
        <w:tc>
          <w:tcPr>
            <w:tcW w:w="1466" w:type="dxa"/>
            <w:tcBorders>
              <w:top w:val="single" w:sz="4" w:space="0" w:color="auto"/>
              <w:bottom w:val="single" w:sz="4" w:space="0" w:color="auto"/>
            </w:tcBorders>
            <w:noWrap/>
            <w:hideMark/>
          </w:tcPr>
          <w:p w:rsidR="00700A46" w:rsidRPr="000F2529" w:rsidRDefault="00700A46" w:rsidP="00B91132">
            <w:pPr>
              <w:rPr>
                <w:rFonts w:ascii="Calibri" w:eastAsia="Times New Roman" w:hAnsi="Calibri" w:cs="Times New Roman"/>
                <w:b/>
                <w:color w:val="000000"/>
                <w:lang w:eastAsia="en-GB"/>
              </w:rPr>
            </w:pPr>
            <w:r w:rsidRPr="000F2529">
              <w:rPr>
                <w:rFonts w:ascii="Calibri" w:eastAsia="Times New Roman" w:hAnsi="Calibri" w:cs="Times New Roman"/>
                <w:b/>
                <w:color w:val="000000"/>
                <w:lang w:eastAsia="en-GB"/>
              </w:rPr>
              <w:t>100%</w:t>
            </w:r>
          </w:p>
        </w:tc>
      </w:tr>
    </w:tbl>
    <w:p w:rsidR="002D0B12" w:rsidRDefault="002D0B12" w:rsidP="002D0B12">
      <w:r>
        <w:fldChar w:fldCharType="end"/>
      </w:r>
    </w:p>
    <w:p w:rsidR="002D0B12" w:rsidRDefault="002D0B12" w:rsidP="008A02EC">
      <w:pPr>
        <w:pStyle w:val="Heading2"/>
      </w:pPr>
      <w:bookmarkStart w:id="37" w:name="_Toc403986361"/>
      <w:r>
        <w:t>Neighbourhood Renewal Areas</w:t>
      </w:r>
      <w:bookmarkEnd w:id="37"/>
    </w:p>
    <w:p w:rsidR="008A02EC" w:rsidRDefault="008A02EC" w:rsidP="002D0B12"/>
    <w:p w:rsidR="002D0B12" w:rsidRDefault="00DD1D5B" w:rsidP="002D0B12">
      <w:r>
        <w:t xml:space="preserve">Under </w:t>
      </w:r>
      <w:r w:rsidR="002D0B12">
        <w:t xml:space="preserve">Government’s People and Places Strategy, 36 of the most deprived neighbourhoods across Northern Ireland have been designated as Neighbourhood Renewal Areas (NRAs).  The strategy is cross-government, bringing together the work of all departments, in partnership with the community and voluntary sector, to tackle deprivation.  </w:t>
      </w:r>
    </w:p>
    <w:p w:rsidR="000F2529" w:rsidRDefault="000F2529" w:rsidP="002D0B12"/>
    <w:p w:rsidR="000F2529" w:rsidRDefault="000F2529" w:rsidP="000F2529">
      <w:pPr>
        <w:pStyle w:val="Caption"/>
        <w:rPr>
          <w:b w:val="0"/>
        </w:rPr>
      </w:pPr>
      <w:bookmarkStart w:id="38" w:name="_Toc402964772"/>
      <w:r>
        <w:t xml:space="preserve">Figure </w:t>
      </w:r>
      <w:r w:rsidR="00D3437B">
        <w:fldChar w:fldCharType="begin"/>
      </w:r>
      <w:r w:rsidR="00D3437B">
        <w:instrText xml:space="preserve"> SEQ Figure \* ARABIC </w:instrText>
      </w:r>
      <w:r w:rsidR="00D3437B">
        <w:fldChar w:fldCharType="separate"/>
      </w:r>
      <w:r w:rsidR="00875985">
        <w:rPr>
          <w:noProof/>
        </w:rPr>
        <w:t>20</w:t>
      </w:r>
      <w:r w:rsidR="00D3437B">
        <w:rPr>
          <w:noProof/>
        </w:rPr>
        <w:fldChar w:fldCharType="end"/>
      </w:r>
      <w:r>
        <w:t xml:space="preserve">: </w:t>
      </w:r>
      <w:r>
        <w:rPr>
          <w:b w:val="0"/>
        </w:rPr>
        <w:t>Proportion of activity delivered in Neighbourhood Renewal Areas, 2013/14</w:t>
      </w:r>
      <w:bookmarkEnd w:id="38"/>
    </w:p>
    <w:p w:rsidR="000F2529" w:rsidRDefault="000F2529" w:rsidP="002D0B12"/>
    <w:p w:rsidR="002D0B12" w:rsidRDefault="002D0B12" w:rsidP="002D0B12">
      <w:pPr>
        <w:jc w:val="center"/>
      </w:pPr>
      <w:r>
        <w:rPr>
          <w:noProof/>
          <w:lang w:eastAsia="en-GB"/>
        </w:rPr>
        <w:drawing>
          <wp:inline distT="0" distB="0" distL="0" distR="0" wp14:anchorId="2B17306F" wp14:editId="33A9E74B">
            <wp:extent cx="3000375" cy="2743200"/>
            <wp:effectExtent l="0" t="0" r="9525"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424DE" w:rsidRDefault="00D424DE" w:rsidP="002D0B12"/>
    <w:p w:rsidR="008A02EC" w:rsidRDefault="00DD1D5B" w:rsidP="002D0B12">
      <w:r>
        <w:t>Figure 16</w:t>
      </w:r>
      <w:r w:rsidR="002D0B12">
        <w:t xml:space="preserve"> shows the proportion of activity delivered by the portfolio of regularly funded organisations that fell within designated NRA’s.  In 2013/14, this equated to fifty three </w:t>
      </w:r>
      <w:r w:rsidR="002D0B12">
        <w:lastRenderedPageBreak/>
        <w:t>percent (n=4,301) of activity, involving a total of 1.67m people</w:t>
      </w:r>
      <w:r w:rsidR="002D0B12">
        <w:rPr>
          <w:rStyle w:val="FootnoteReference"/>
        </w:rPr>
        <w:footnoteReference w:id="6"/>
      </w:r>
      <w:r w:rsidR="002D0B12">
        <w:t xml:space="preserve"> either as audiences or participants.  </w:t>
      </w:r>
    </w:p>
    <w:p w:rsidR="00D424DE" w:rsidRDefault="00D424DE" w:rsidP="00CE1136">
      <w:pPr>
        <w:pStyle w:val="Heading2"/>
        <w:numPr>
          <w:ilvl w:val="0"/>
          <w:numId w:val="0"/>
        </w:numPr>
        <w:ind w:left="576" w:hanging="576"/>
      </w:pPr>
    </w:p>
    <w:p w:rsidR="002D0B12" w:rsidRDefault="002D0B12" w:rsidP="000F2529">
      <w:pPr>
        <w:pStyle w:val="Caption"/>
      </w:pPr>
      <w:r>
        <w:fldChar w:fldCharType="begin"/>
      </w:r>
      <w:r>
        <w:instrText xml:space="preserve"> LINK Excel.Sheet.12 "\\\\fs0.acninet.local\\Staff\\gstevenson\\Book1 map.xlsx" "Sheet1!R122C4:R125C8" \a \f 4 \h  \* MERGEFORMAT </w:instrText>
      </w:r>
      <w:r>
        <w:fldChar w:fldCharType="separate"/>
      </w:r>
    </w:p>
    <w:p w:rsidR="002D0B12" w:rsidRDefault="002D0B12" w:rsidP="002D0B12">
      <w:r>
        <w:fldChar w:fldCharType="end"/>
      </w:r>
    </w:p>
    <w:p w:rsidR="002D0B12" w:rsidRDefault="002D0B12" w:rsidP="002D0B12"/>
    <w:p w:rsidR="002D0B12" w:rsidRDefault="002D0B12" w:rsidP="002D0B12"/>
    <w:p w:rsidR="002D0B12" w:rsidRDefault="002D0B12" w:rsidP="002D0B12"/>
    <w:p w:rsidR="002D0B12" w:rsidRDefault="002D0B12" w:rsidP="002D0B12"/>
    <w:p w:rsidR="002D0B12" w:rsidRDefault="002D0B12" w:rsidP="002D0B12"/>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Default="00A93752" w:rsidP="00094281">
      <w:pPr>
        <w:rPr>
          <w:bCs/>
        </w:rPr>
      </w:pPr>
    </w:p>
    <w:p w:rsidR="00A93752" w:rsidRPr="00A93752" w:rsidRDefault="00A93752" w:rsidP="00A93752">
      <w:pPr>
        <w:sectPr w:rsidR="00A93752" w:rsidRPr="00A93752" w:rsidSect="00A1570B">
          <w:pgSz w:w="11906" w:h="16838"/>
          <w:pgMar w:top="1440" w:right="1559" w:bottom="1440" w:left="1440" w:header="708" w:footer="708" w:gutter="0"/>
          <w:cols w:space="708"/>
          <w:docGrid w:linePitch="360"/>
        </w:sectPr>
      </w:pPr>
    </w:p>
    <w:p w:rsidR="00FC41AE" w:rsidRPr="00FC41AE" w:rsidRDefault="005B0A08" w:rsidP="005B0A08">
      <w:pPr>
        <w:spacing w:after="200"/>
        <w:rPr>
          <w:bCs/>
        </w:rPr>
      </w:pPr>
      <w:r w:rsidRPr="00F01F2A">
        <w:rPr>
          <w:b/>
          <w:bCs/>
        </w:rPr>
        <w:lastRenderedPageBreak/>
        <w:t>Appendix</w:t>
      </w:r>
      <w:r w:rsidR="00FC41AE" w:rsidRPr="00F01F2A">
        <w:rPr>
          <w:b/>
          <w:bCs/>
        </w:rPr>
        <w:t xml:space="preserve"> 1</w:t>
      </w:r>
      <w:r w:rsidR="00FC41AE">
        <w:rPr>
          <w:bCs/>
        </w:rPr>
        <w:t xml:space="preserve"> – Organisations in receipt of Annual Funding Programme funding in 2013/14 </w:t>
      </w:r>
      <w:r w:rsidR="00FC41AE">
        <w:fldChar w:fldCharType="begin"/>
      </w:r>
      <w:r w:rsidR="00FC41AE">
        <w:instrText xml:space="preserve"> LINK Excel.Sheet.12 "\\\\fs0.acninet.local\\strategic_share\\Policy &amp; Research Team\\Survey Data Sets\\RFO\\RFO 1314\\Master 13_14 RFO Organisations\\2013 14 client list.xlsx" "Sheet1!R1C1:R110C1" \a \f 4 \h  \* MERGEFORMAT </w:instrText>
      </w:r>
      <w:r w:rsidR="00FC41AE">
        <w:fldChar w:fldCharType="separate"/>
      </w:r>
    </w:p>
    <w:tbl>
      <w:tblPr>
        <w:tblW w:w="14317" w:type="dxa"/>
        <w:tblInd w:w="108" w:type="dxa"/>
        <w:tblLook w:val="04A0" w:firstRow="1" w:lastRow="0" w:firstColumn="1" w:lastColumn="0" w:noHBand="0" w:noVBand="1"/>
      </w:tblPr>
      <w:tblGrid>
        <w:gridCol w:w="4678"/>
        <w:gridCol w:w="4536"/>
        <w:gridCol w:w="5103"/>
      </w:tblGrid>
      <w:tr w:rsidR="00182826" w:rsidRPr="00FC41AE" w:rsidTr="00182826">
        <w:trPr>
          <w:trHeight w:val="300"/>
        </w:trPr>
        <w:tc>
          <w:tcPr>
            <w:tcW w:w="4678" w:type="dxa"/>
            <w:tcBorders>
              <w:top w:val="single" w:sz="4" w:space="0" w:color="D9D9D9"/>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ADAPT NI</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Community Arts Partnership</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McCracken Cultural Society</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Aisling </w:t>
            </w:r>
            <w:proofErr w:type="spellStart"/>
            <w:r w:rsidRPr="00FC41AE">
              <w:rPr>
                <w:rFonts w:ascii="Calibri" w:eastAsia="Times New Roman" w:hAnsi="Calibri" w:cs="Times New Roman"/>
                <w:color w:val="000000"/>
                <w:sz w:val="20"/>
                <w:szCs w:val="20"/>
                <w:lang w:eastAsia="en-GB"/>
              </w:rPr>
              <w:t>Ghear</w:t>
            </w:r>
            <w:proofErr w:type="spellEnd"/>
            <w:r w:rsidRPr="00FC41AE">
              <w:rPr>
                <w:rFonts w:ascii="Calibri" w:eastAsia="Times New Roman" w:hAnsi="Calibri" w:cs="Times New Roman"/>
                <w:color w:val="000000"/>
                <w:sz w:val="20"/>
                <w:szCs w:val="20"/>
                <w:lang w:eastAsia="en-GB"/>
              </w:rPr>
              <w:t xml:space="preserve"> Theatre Company</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Craft and Design Collective</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Moving on Music Ltd</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All Set Cross Cultural Project</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Craft Northern Ireland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Music Theatre for Youth</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An </w:t>
            </w:r>
            <w:proofErr w:type="spellStart"/>
            <w:r w:rsidRPr="00FC41AE">
              <w:rPr>
                <w:rFonts w:ascii="Calibri" w:eastAsia="Times New Roman" w:hAnsi="Calibri" w:cs="Times New Roman"/>
                <w:color w:val="000000"/>
                <w:sz w:val="20"/>
                <w:szCs w:val="20"/>
                <w:lang w:eastAsia="en-GB"/>
              </w:rPr>
              <w:t>Droichead</w:t>
            </w:r>
            <w:proofErr w:type="spellEnd"/>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Creative Exchange</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New Lodge Arts</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An </w:t>
            </w:r>
            <w:proofErr w:type="spellStart"/>
            <w:r w:rsidRPr="00FC41AE">
              <w:rPr>
                <w:rFonts w:ascii="Calibri" w:eastAsia="Times New Roman" w:hAnsi="Calibri" w:cs="Times New Roman"/>
                <w:color w:val="000000"/>
                <w:sz w:val="20"/>
                <w:szCs w:val="20"/>
                <w:lang w:eastAsia="en-GB"/>
              </w:rPr>
              <w:t>Gaelaras</w:t>
            </w:r>
            <w:proofErr w:type="spellEnd"/>
            <w:r w:rsidRPr="00FC41AE">
              <w:rPr>
                <w:rFonts w:ascii="Calibri" w:eastAsia="Times New Roman" w:hAnsi="Calibri" w:cs="Times New Roman"/>
                <w:color w:val="000000"/>
                <w:sz w:val="20"/>
                <w:szCs w:val="20"/>
                <w:lang w:eastAsia="en-GB"/>
              </w:rPr>
              <w:t xml:space="preserve"> Ltd</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Crescent Arts Centre</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NI Opera</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Andersonstown</w:t>
            </w:r>
            <w:proofErr w:type="spellEnd"/>
            <w:r w:rsidRPr="00FC41AE">
              <w:rPr>
                <w:rFonts w:ascii="Calibri" w:eastAsia="Times New Roman" w:hAnsi="Calibri" w:cs="Times New Roman"/>
                <w:color w:val="000000"/>
                <w:sz w:val="20"/>
                <w:szCs w:val="20"/>
                <w:lang w:eastAsia="en-GB"/>
              </w:rPr>
              <w:t xml:space="preserve"> </w:t>
            </w:r>
            <w:proofErr w:type="spellStart"/>
            <w:r w:rsidRPr="00FC41AE">
              <w:rPr>
                <w:rFonts w:ascii="Calibri" w:eastAsia="Times New Roman" w:hAnsi="Calibri" w:cs="Times New Roman"/>
                <w:color w:val="000000"/>
                <w:sz w:val="20"/>
                <w:szCs w:val="20"/>
                <w:lang w:eastAsia="en-GB"/>
              </w:rPr>
              <w:t>Trad</w:t>
            </w:r>
            <w:proofErr w:type="spellEnd"/>
            <w:r w:rsidRPr="00FC41AE">
              <w:rPr>
                <w:rFonts w:ascii="Calibri" w:eastAsia="Times New Roman" w:hAnsi="Calibri" w:cs="Times New Roman"/>
                <w:color w:val="000000"/>
                <w:sz w:val="20"/>
                <w:szCs w:val="20"/>
                <w:lang w:eastAsia="en-GB"/>
              </w:rPr>
              <w:t xml:space="preserve"> Music School</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Culturlann McAdam </w:t>
            </w:r>
            <w:proofErr w:type="spellStart"/>
            <w:r w:rsidRPr="00FC41AE">
              <w:rPr>
                <w:rFonts w:ascii="Calibri" w:eastAsia="Times New Roman" w:hAnsi="Calibri" w:cs="Times New Roman"/>
                <w:color w:val="000000"/>
                <w:sz w:val="20"/>
                <w:szCs w:val="20"/>
                <w:lang w:eastAsia="en-GB"/>
              </w:rPr>
              <w:t>O'Fiaich</w:t>
            </w:r>
            <w:proofErr w:type="spellEnd"/>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Northern Ireland Piping &amp; Drumming School</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Armagh Rhymers Educational &amp; Cultural Organisation</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Dance Resource Base (NI) Ltd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Northern Visions Ltd.</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Array Studios</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DU Dance</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Oh Yeah Music Centre</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Arts and Disability Forum</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Derry Theatre Trust</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Open Arts</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Arts Care</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Digital Arts Studios</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Open House Festival</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Arts for All</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Down Community Arts Ltd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Orchid Studios Association</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Belfast Community Circus School</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Drake Music Project Northern Ireland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Panarts</w:t>
            </w:r>
            <w:proofErr w:type="spellEnd"/>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Belfast Exposed Photography</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Dun </w:t>
            </w:r>
            <w:proofErr w:type="spellStart"/>
            <w:r w:rsidRPr="00FC41AE">
              <w:rPr>
                <w:rFonts w:ascii="Calibri" w:eastAsia="Times New Roman" w:hAnsi="Calibri" w:cs="Times New Roman"/>
                <w:color w:val="000000"/>
                <w:sz w:val="20"/>
                <w:szCs w:val="20"/>
                <w:lang w:eastAsia="en-GB"/>
              </w:rPr>
              <w:t>Uladh</w:t>
            </w:r>
            <w:proofErr w:type="spellEnd"/>
            <w:r w:rsidRPr="00FC41AE">
              <w:rPr>
                <w:rFonts w:ascii="Calibri" w:eastAsia="Times New Roman" w:hAnsi="Calibri" w:cs="Times New Roman"/>
                <w:color w:val="000000"/>
                <w:sz w:val="20"/>
                <w:szCs w:val="20"/>
                <w:lang w:eastAsia="en-GB"/>
              </w:rPr>
              <w:t xml:space="preserve"> Ltd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Paragon Studios</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Belfast Festival at Queen's</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Echo </w:t>
            </w:r>
            <w:proofErr w:type="spellStart"/>
            <w:r w:rsidRPr="00FC41AE">
              <w:rPr>
                <w:rFonts w:ascii="Calibri" w:eastAsia="Times New Roman" w:hAnsi="Calibri" w:cs="Times New Roman"/>
                <w:color w:val="000000"/>
                <w:sz w:val="20"/>
                <w:szCs w:val="20"/>
                <w:lang w:eastAsia="en-GB"/>
              </w:rPr>
              <w:t>Echo</w:t>
            </w:r>
            <w:proofErr w:type="spellEnd"/>
            <w:r w:rsidRPr="00FC41AE">
              <w:rPr>
                <w:rFonts w:ascii="Calibri" w:eastAsia="Times New Roman" w:hAnsi="Calibri" w:cs="Times New Roman"/>
                <w:color w:val="000000"/>
                <w:sz w:val="20"/>
                <w:szCs w:val="20"/>
                <w:lang w:eastAsia="en-GB"/>
              </w:rPr>
              <w:t xml:space="preserve"> Dance Theatre Company</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Partisan Productions</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Belfast Music Society</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Enniskillen International Beckett Festival</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PLACE</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Belfast Print Workshop</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Feile an </w:t>
            </w:r>
            <w:proofErr w:type="spellStart"/>
            <w:r w:rsidRPr="00FC41AE">
              <w:rPr>
                <w:rFonts w:ascii="Calibri" w:eastAsia="Times New Roman" w:hAnsi="Calibri" w:cs="Times New Roman"/>
                <w:color w:val="000000"/>
                <w:sz w:val="20"/>
                <w:szCs w:val="20"/>
                <w:lang w:eastAsia="en-GB"/>
              </w:rPr>
              <w:t>Phobail</w:t>
            </w:r>
            <w:proofErr w:type="spellEnd"/>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Play Resource Warehouse</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Belfast Traditional Music and Dance Society</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Flaxart</w:t>
            </w:r>
            <w:proofErr w:type="spellEnd"/>
            <w:r w:rsidRPr="00FC41AE">
              <w:rPr>
                <w:rFonts w:ascii="Calibri" w:eastAsia="Times New Roman" w:hAnsi="Calibri" w:cs="Times New Roman"/>
                <w:color w:val="000000"/>
                <w:sz w:val="20"/>
                <w:szCs w:val="20"/>
                <w:lang w:eastAsia="en-GB"/>
              </w:rPr>
              <w:t xml:space="preserve"> Studios</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POBAL</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Big Telly Theatre Company</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Glasgowbury</w:t>
            </w:r>
            <w:proofErr w:type="spellEnd"/>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Poetry Ireland</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Blackstaff</w:t>
            </w:r>
            <w:proofErr w:type="spellEnd"/>
            <w:r w:rsidRPr="00FC41AE">
              <w:rPr>
                <w:rFonts w:ascii="Calibri" w:eastAsia="Times New Roman" w:hAnsi="Calibri" w:cs="Times New Roman"/>
                <w:color w:val="000000"/>
                <w:sz w:val="20"/>
                <w:szCs w:val="20"/>
                <w:lang w:eastAsia="en-GB"/>
              </w:rPr>
              <w:t xml:space="preserve"> Press Limited</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Golden Thread Gallery</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Millenium</w:t>
            </w:r>
            <w:proofErr w:type="spellEnd"/>
            <w:r w:rsidRPr="00FC41AE">
              <w:rPr>
                <w:rFonts w:ascii="Calibri" w:eastAsia="Times New Roman" w:hAnsi="Calibri" w:cs="Times New Roman"/>
                <w:color w:val="000000"/>
                <w:sz w:val="20"/>
                <w:szCs w:val="20"/>
                <w:lang w:eastAsia="en-GB"/>
              </w:rPr>
              <w:t xml:space="preserve"> Court Arts Centre (</w:t>
            </w:r>
            <w:proofErr w:type="spellStart"/>
            <w:r w:rsidRPr="00FC41AE">
              <w:rPr>
                <w:rFonts w:ascii="Calibri" w:eastAsia="Times New Roman" w:hAnsi="Calibri" w:cs="Times New Roman"/>
                <w:color w:val="000000"/>
                <w:sz w:val="20"/>
                <w:szCs w:val="20"/>
                <w:lang w:eastAsia="en-GB"/>
              </w:rPr>
              <w:t>Portadown</w:t>
            </w:r>
            <w:proofErr w:type="spellEnd"/>
            <w:r w:rsidRPr="00FC41AE">
              <w:rPr>
                <w:rFonts w:ascii="Calibri" w:eastAsia="Times New Roman" w:hAnsi="Calibri" w:cs="Times New Roman"/>
                <w:color w:val="000000"/>
                <w:sz w:val="20"/>
                <w:szCs w:val="20"/>
                <w:lang w:eastAsia="en-GB"/>
              </w:rPr>
              <w:t xml:space="preserve"> 2000) </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Bruiser Theatre Company</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Greater </w:t>
            </w:r>
            <w:proofErr w:type="spellStart"/>
            <w:r w:rsidRPr="00FC41AE">
              <w:rPr>
                <w:rFonts w:ascii="Calibri" w:eastAsia="Times New Roman" w:hAnsi="Calibri" w:cs="Times New Roman"/>
                <w:color w:val="000000"/>
                <w:sz w:val="20"/>
                <w:szCs w:val="20"/>
                <w:lang w:eastAsia="en-GB"/>
              </w:rPr>
              <w:t>Shantallow</w:t>
            </w:r>
            <w:proofErr w:type="spellEnd"/>
            <w:r w:rsidRPr="00FC41AE">
              <w:rPr>
                <w:rFonts w:ascii="Calibri" w:eastAsia="Times New Roman" w:hAnsi="Calibri" w:cs="Times New Roman"/>
                <w:color w:val="000000"/>
                <w:sz w:val="20"/>
                <w:szCs w:val="20"/>
                <w:lang w:eastAsia="en-GB"/>
              </w:rPr>
              <w:t xml:space="preserve"> Community Arts</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Prime Cut Productions Ltd</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Cahoots NI Ltd</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Green Shoot Productions</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Prison Arts Foundation</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Camerata</w:t>
            </w:r>
            <w:proofErr w:type="spellEnd"/>
            <w:r w:rsidRPr="00FC41AE">
              <w:rPr>
                <w:rFonts w:ascii="Calibri" w:eastAsia="Times New Roman" w:hAnsi="Calibri" w:cs="Times New Roman"/>
                <w:color w:val="000000"/>
                <w:sz w:val="20"/>
                <w:szCs w:val="20"/>
                <w:lang w:eastAsia="en-GB"/>
              </w:rPr>
              <w:t xml:space="preserve"> Ireland</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Guildhall Press</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Queen Street Studios</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Catalyst Arts Ltd</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In Your Space (NI) Ltd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Replay Theatre Company</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Centre for Contemporary Art</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Irish Pages Ltd.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Seacourt</w:t>
            </w:r>
            <w:proofErr w:type="spellEnd"/>
            <w:r w:rsidRPr="00FC41AE">
              <w:rPr>
                <w:rFonts w:ascii="Calibri" w:eastAsia="Times New Roman" w:hAnsi="Calibri" w:cs="Times New Roman"/>
                <w:color w:val="000000"/>
                <w:sz w:val="20"/>
                <w:szCs w:val="20"/>
                <w:lang w:eastAsia="en-GB"/>
              </w:rPr>
              <w:t xml:space="preserve"> Print Workshop Limited</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Kids in Control</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Irish Traditional Music Archive</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Sole Purpose Productions</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Spanner in the Works</w:t>
            </w:r>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Kabosh</w:t>
            </w:r>
            <w:proofErr w:type="spellEnd"/>
            <w:r w:rsidRPr="00FC41AE">
              <w:rPr>
                <w:rFonts w:ascii="Calibri" w:eastAsia="Times New Roman" w:hAnsi="Calibri" w:cs="Times New Roman"/>
                <w:color w:val="000000"/>
                <w:sz w:val="20"/>
                <w:szCs w:val="20"/>
                <w:lang w:eastAsia="en-GB"/>
              </w:rPr>
              <w:t xml:space="preserve"> Theatre Ltd</w:t>
            </w:r>
          </w:p>
        </w:tc>
        <w:tc>
          <w:tcPr>
            <w:tcW w:w="5103" w:type="dxa"/>
            <w:vAlign w:val="bottom"/>
          </w:tcPr>
          <w:p w:rsidR="00182826" w:rsidRPr="00FC41AE" w:rsidRDefault="00182826" w:rsidP="006757C8">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Source Magazine</w:t>
            </w:r>
          </w:p>
        </w:tc>
      </w:tr>
      <w:tr w:rsidR="00182826" w:rsidRPr="00FC41AE" w:rsidTr="00182826">
        <w:trPr>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proofErr w:type="spellStart"/>
            <w:r w:rsidRPr="00FC41AE">
              <w:rPr>
                <w:rFonts w:ascii="Calibri" w:eastAsia="Times New Roman" w:hAnsi="Calibri" w:cs="Times New Roman"/>
                <w:color w:val="000000"/>
                <w:sz w:val="20"/>
                <w:szCs w:val="20"/>
                <w:lang w:eastAsia="en-GB"/>
              </w:rPr>
              <w:t>Comhaltas</w:t>
            </w:r>
            <w:proofErr w:type="spellEnd"/>
            <w:r w:rsidRPr="00FC41AE">
              <w:rPr>
                <w:rFonts w:ascii="Calibri" w:eastAsia="Times New Roman" w:hAnsi="Calibri" w:cs="Times New Roman"/>
                <w:color w:val="000000"/>
                <w:sz w:val="20"/>
                <w:szCs w:val="20"/>
                <w:lang w:eastAsia="en-GB"/>
              </w:rPr>
              <w:t xml:space="preserve"> </w:t>
            </w:r>
            <w:proofErr w:type="spellStart"/>
            <w:r w:rsidRPr="00FC41AE">
              <w:rPr>
                <w:rFonts w:ascii="Calibri" w:eastAsia="Times New Roman" w:hAnsi="Calibri" w:cs="Times New Roman"/>
                <w:color w:val="000000"/>
                <w:sz w:val="20"/>
                <w:szCs w:val="20"/>
                <w:lang w:eastAsia="en-GB"/>
              </w:rPr>
              <w:t>Ceoltoiri</w:t>
            </w:r>
            <w:proofErr w:type="spellEnd"/>
            <w:r w:rsidRPr="00FC41AE">
              <w:rPr>
                <w:rFonts w:ascii="Calibri" w:eastAsia="Times New Roman" w:hAnsi="Calibri" w:cs="Times New Roman"/>
                <w:color w:val="000000"/>
                <w:sz w:val="20"/>
                <w:szCs w:val="20"/>
                <w:lang w:eastAsia="en-GB"/>
              </w:rPr>
              <w:t xml:space="preserve"> </w:t>
            </w:r>
            <w:proofErr w:type="spellStart"/>
            <w:r w:rsidRPr="00FC41AE">
              <w:rPr>
                <w:rFonts w:ascii="Calibri" w:eastAsia="Times New Roman" w:hAnsi="Calibri" w:cs="Times New Roman"/>
                <w:color w:val="000000"/>
                <w:sz w:val="20"/>
                <w:szCs w:val="20"/>
                <w:lang w:eastAsia="en-GB"/>
              </w:rPr>
              <w:t>Eireann</w:t>
            </w:r>
            <w:proofErr w:type="spellEnd"/>
          </w:p>
        </w:tc>
        <w:tc>
          <w:tcPr>
            <w:tcW w:w="4536"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Maiden Voyage (NI) Ltd</w:t>
            </w:r>
          </w:p>
        </w:tc>
        <w:tc>
          <w:tcPr>
            <w:tcW w:w="5103" w:type="dxa"/>
            <w:vAlign w:val="bottom"/>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Sticky Fingers Early Years Arts</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lastRenderedPageBreak/>
              <w:t>Streetwise Community Circus Workshops</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Terra Nova Productions</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Beat Initiative</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Black Box Trust</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Cathedral Quarter Arts Festival</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Contemporary Music Centre Ltd</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Grand Opera House Trust</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John Hewitt Society</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Lyric Theatre (NI)</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MAC</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Nerve Centre</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Playhouse, Derry</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Royal Scottish Pipe Band Association</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The Void Art Centre</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Tinderbox Theatre Company</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Tyrone Guthrie Centre at </w:t>
            </w:r>
            <w:proofErr w:type="spellStart"/>
            <w:r w:rsidRPr="00FC41AE">
              <w:rPr>
                <w:rFonts w:ascii="Calibri" w:eastAsia="Times New Roman" w:hAnsi="Calibri" w:cs="Times New Roman"/>
                <w:color w:val="000000"/>
                <w:sz w:val="20"/>
                <w:szCs w:val="20"/>
                <w:lang w:eastAsia="en-GB"/>
              </w:rPr>
              <w:t>Annaghmakerrig</w:t>
            </w:r>
            <w:proofErr w:type="spellEnd"/>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Ulster Association of Youth Drama</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Ulster Orchestra Society Ltd</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Ulster Youth Choir</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Ulster Youth Orchestra</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Ulster-Scots Community Network</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Verbal Arts Centre</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 xml:space="preserve">Voluntary Arts Network </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Walled City Music Trust</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Waterside Theatre Company Ltd</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Wheelworks</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Young at Art</w:t>
            </w:r>
          </w:p>
        </w:tc>
      </w:tr>
      <w:tr w:rsidR="00182826" w:rsidRPr="00FC41AE" w:rsidTr="00182826">
        <w:trPr>
          <w:gridAfter w:val="2"/>
          <w:wAfter w:w="9639" w:type="dxa"/>
          <w:trHeight w:val="300"/>
        </w:trPr>
        <w:tc>
          <w:tcPr>
            <w:tcW w:w="4678" w:type="dxa"/>
            <w:tcBorders>
              <w:top w:val="nil"/>
              <w:left w:val="single" w:sz="4" w:space="0" w:color="D9D9D9"/>
              <w:bottom w:val="single" w:sz="4" w:space="0" w:color="D9D9D9"/>
              <w:right w:val="single" w:sz="4" w:space="0" w:color="D9D9D9"/>
            </w:tcBorders>
            <w:shd w:val="clear" w:color="auto" w:fill="auto"/>
            <w:noWrap/>
            <w:vAlign w:val="bottom"/>
            <w:hideMark/>
          </w:tcPr>
          <w:p w:rsidR="00182826" w:rsidRPr="00FC41AE" w:rsidRDefault="00182826" w:rsidP="00FC41AE">
            <w:pPr>
              <w:spacing w:line="240" w:lineRule="auto"/>
              <w:rPr>
                <w:rFonts w:ascii="Calibri" w:eastAsia="Times New Roman" w:hAnsi="Calibri" w:cs="Times New Roman"/>
                <w:color w:val="000000"/>
                <w:sz w:val="20"/>
                <w:szCs w:val="20"/>
                <w:lang w:eastAsia="en-GB"/>
              </w:rPr>
            </w:pPr>
            <w:r w:rsidRPr="00FC41AE">
              <w:rPr>
                <w:rFonts w:ascii="Calibri" w:eastAsia="Times New Roman" w:hAnsi="Calibri" w:cs="Times New Roman"/>
                <w:color w:val="000000"/>
                <w:sz w:val="20"/>
                <w:szCs w:val="20"/>
                <w:lang w:eastAsia="en-GB"/>
              </w:rPr>
              <w:t>Youth Action Northern Ireland</w:t>
            </w:r>
          </w:p>
        </w:tc>
      </w:tr>
    </w:tbl>
    <w:p w:rsidR="00C67A51" w:rsidRDefault="00FC41AE" w:rsidP="0003226B">
      <w:pPr>
        <w:spacing w:after="200"/>
      </w:pPr>
      <w:r>
        <w:rPr>
          <w:bCs/>
        </w:rPr>
        <w:lastRenderedPageBreak/>
        <w:fldChar w:fldCharType="end"/>
      </w:r>
      <w:bookmarkEnd w:id="0"/>
    </w:p>
    <w:p w:rsidR="007209B9" w:rsidRDefault="007209B9" w:rsidP="00C67A51">
      <w:pPr>
        <w:jc w:val="center"/>
      </w:pPr>
    </w:p>
    <w:sectPr w:rsidR="007209B9" w:rsidSect="00D200D5">
      <w:pgSz w:w="16838" w:h="11906" w:orient="landscape"/>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37B" w:rsidRDefault="00D3437B" w:rsidP="00E719BB">
      <w:pPr>
        <w:spacing w:line="240" w:lineRule="auto"/>
      </w:pPr>
      <w:r>
        <w:separator/>
      </w:r>
    </w:p>
  </w:endnote>
  <w:endnote w:type="continuationSeparator" w:id="0">
    <w:p w:rsidR="00D3437B" w:rsidRDefault="00D3437B" w:rsidP="00E71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2250055"/>
      <w:docPartObj>
        <w:docPartGallery w:val="Page Numbers (Bottom of Page)"/>
        <w:docPartUnique/>
      </w:docPartObj>
    </w:sdtPr>
    <w:sdtEndPr>
      <w:rPr>
        <w:noProof/>
      </w:rPr>
    </w:sdtEndPr>
    <w:sdtContent>
      <w:p w:rsidR="00E73EBE" w:rsidRDefault="00E73EBE">
        <w:pPr>
          <w:pStyle w:val="Footer"/>
          <w:jc w:val="right"/>
        </w:pPr>
        <w:r>
          <w:fldChar w:fldCharType="begin"/>
        </w:r>
        <w:r>
          <w:instrText xml:space="preserve"> PAGE   \* MERGEFORMAT </w:instrText>
        </w:r>
        <w:r>
          <w:fldChar w:fldCharType="separate"/>
        </w:r>
        <w:r w:rsidR="00875985">
          <w:rPr>
            <w:noProof/>
          </w:rPr>
          <w:t>2</w:t>
        </w:r>
        <w:r>
          <w:rPr>
            <w:noProof/>
          </w:rPr>
          <w:fldChar w:fldCharType="end"/>
        </w:r>
      </w:p>
    </w:sdtContent>
  </w:sdt>
  <w:p w:rsidR="00E73EBE" w:rsidRDefault="00E73E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37B" w:rsidRDefault="00D3437B" w:rsidP="00E719BB">
      <w:pPr>
        <w:spacing w:line="240" w:lineRule="auto"/>
      </w:pPr>
      <w:r>
        <w:separator/>
      </w:r>
    </w:p>
  </w:footnote>
  <w:footnote w:type="continuationSeparator" w:id="0">
    <w:p w:rsidR="00D3437B" w:rsidRDefault="00D3437B" w:rsidP="00E719BB">
      <w:pPr>
        <w:spacing w:line="240" w:lineRule="auto"/>
      </w:pPr>
      <w:r>
        <w:continuationSeparator/>
      </w:r>
    </w:p>
  </w:footnote>
  <w:footnote w:id="1">
    <w:p w:rsidR="00E73EBE" w:rsidRDefault="00E73EBE" w:rsidP="00FE2E75">
      <w:pPr>
        <w:pStyle w:val="FootnoteText"/>
      </w:pPr>
      <w:r>
        <w:rPr>
          <w:rStyle w:val="FootnoteReference"/>
        </w:rPr>
        <w:footnoteRef/>
      </w:r>
      <w:r>
        <w:t xml:space="preserve"> Includes contract and permanent employment, full-time and part-time</w:t>
      </w:r>
    </w:p>
  </w:footnote>
  <w:footnote w:id="2">
    <w:p w:rsidR="00E73EBE" w:rsidRDefault="00E73EBE">
      <w:pPr>
        <w:pStyle w:val="FootnoteText"/>
      </w:pPr>
      <w:r>
        <w:rPr>
          <w:rStyle w:val="FootnoteReference"/>
        </w:rPr>
        <w:footnoteRef/>
      </w:r>
      <w:r>
        <w:t xml:space="preserve"> Calculation based on a constant sample of 93 organisations</w:t>
      </w:r>
    </w:p>
  </w:footnote>
  <w:footnote w:id="3">
    <w:p w:rsidR="00E73EBE" w:rsidRDefault="00E73EBE">
      <w:pPr>
        <w:pStyle w:val="FootnoteText"/>
      </w:pPr>
      <w:r>
        <w:rPr>
          <w:rStyle w:val="FootnoteReference"/>
        </w:rPr>
        <w:footnoteRef/>
      </w:r>
      <w:r>
        <w:t xml:space="preserve"> Relates to sponsorship, income from trusts and donations</w:t>
      </w:r>
    </w:p>
  </w:footnote>
  <w:footnote w:id="4">
    <w:p w:rsidR="00E73EBE" w:rsidRDefault="00E73EBE" w:rsidP="00E01C6C">
      <w:pPr>
        <w:pStyle w:val="FootnoteText"/>
      </w:pPr>
      <w:r>
        <w:rPr>
          <w:rStyle w:val="FootnoteReference"/>
        </w:rPr>
        <w:footnoteRef/>
      </w:r>
      <w:r>
        <w:t xml:space="preserve"> As compared against the Central Postcode Directorate released by NISRA, 2014</w:t>
      </w:r>
    </w:p>
  </w:footnote>
  <w:footnote w:id="5">
    <w:p w:rsidR="00E73EBE" w:rsidRPr="009257DB" w:rsidRDefault="00E73EBE" w:rsidP="006227F7">
      <w:pPr>
        <w:pStyle w:val="FootnoteText"/>
        <w:rPr>
          <w:sz w:val="16"/>
          <w:szCs w:val="16"/>
        </w:rPr>
      </w:pPr>
      <w:r w:rsidRPr="009257DB">
        <w:rPr>
          <w:rStyle w:val="FootnoteReference"/>
          <w:sz w:val="16"/>
          <w:szCs w:val="16"/>
        </w:rPr>
        <w:footnoteRef/>
      </w:r>
      <w:r w:rsidRPr="009257DB">
        <w:rPr>
          <w:sz w:val="16"/>
          <w:szCs w:val="16"/>
        </w:rPr>
        <w:t xml:space="preserve"> Domains and weightings include: Income (25%), Employment (25%), Health (15%), Education (15%), and Proximity to Services (10%), Living Environment (5%) and Crime (5%).</w:t>
      </w:r>
    </w:p>
    <w:p w:rsidR="00E73EBE" w:rsidRDefault="00E73EBE">
      <w:pPr>
        <w:pStyle w:val="FootnoteText"/>
      </w:pPr>
    </w:p>
  </w:footnote>
  <w:footnote w:id="6">
    <w:p w:rsidR="00E73EBE" w:rsidRDefault="00E73EBE" w:rsidP="002D0B12">
      <w:pPr>
        <w:pStyle w:val="FootnoteText"/>
      </w:pPr>
      <w:r>
        <w:rPr>
          <w:rStyle w:val="FootnoteReference"/>
        </w:rPr>
        <w:footnoteRef/>
      </w:r>
      <w:r>
        <w:t xml:space="preserve"> Includes both known and estimated audiences for performances, exhibitions and participation based activities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C1469"/>
    <w:multiLevelType w:val="hybridMultilevel"/>
    <w:tmpl w:val="8CD425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E74186"/>
    <w:multiLevelType w:val="hybridMultilevel"/>
    <w:tmpl w:val="1C648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0C751D9"/>
    <w:multiLevelType w:val="hybridMultilevel"/>
    <w:tmpl w:val="1E58A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3B1744"/>
    <w:multiLevelType w:val="hybridMultilevel"/>
    <w:tmpl w:val="55122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F82765F"/>
    <w:multiLevelType w:val="hybridMultilevel"/>
    <w:tmpl w:val="B8EA6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FFC49A6"/>
    <w:multiLevelType w:val="hybridMultilevel"/>
    <w:tmpl w:val="73261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4765A3"/>
    <w:multiLevelType w:val="hybridMultilevel"/>
    <w:tmpl w:val="CA443BCC"/>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81451D3"/>
    <w:multiLevelType w:val="hybridMultilevel"/>
    <w:tmpl w:val="5C1C1FAE"/>
    <w:lvl w:ilvl="0" w:tplc="7A30F2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9BB32D1"/>
    <w:multiLevelType w:val="multilevel"/>
    <w:tmpl w:val="2C02955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305977A3"/>
    <w:multiLevelType w:val="hybridMultilevel"/>
    <w:tmpl w:val="E2961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1542371"/>
    <w:multiLevelType w:val="hybridMultilevel"/>
    <w:tmpl w:val="DF845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2BA4A02"/>
    <w:multiLevelType w:val="hybridMultilevel"/>
    <w:tmpl w:val="D7A6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3DD69ED"/>
    <w:multiLevelType w:val="hybridMultilevel"/>
    <w:tmpl w:val="F45297C6"/>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3">
    <w:nsid w:val="364F2813"/>
    <w:multiLevelType w:val="hybridMultilevel"/>
    <w:tmpl w:val="10E2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9286874"/>
    <w:multiLevelType w:val="hybridMultilevel"/>
    <w:tmpl w:val="DFD69B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77773F5"/>
    <w:multiLevelType w:val="hybridMultilevel"/>
    <w:tmpl w:val="A134B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7E4717"/>
    <w:multiLevelType w:val="hybridMultilevel"/>
    <w:tmpl w:val="0B9A96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CB8021D"/>
    <w:multiLevelType w:val="hybridMultilevel"/>
    <w:tmpl w:val="6AEA31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DFF07D7"/>
    <w:multiLevelType w:val="hybridMultilevel"/>
    <w:tmpl w:val="9FC84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48F46CB"/>
    <w:multiLevelType w:val="hybridMultilevel"/>
    <w:tmpl w:val="4B94EA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9E209EE"/>
    <w:multiLevelType w:val="hybridMultilevel"/>
    <w:tmpl w:val="9FC84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2052CFF"/>
    <w:multiLevelType w:val="hybridMultilevel"/>
    <w:tmpl w:val="BD8E6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F2187F"/>
    <w:multiLevelType w:val="hybridMultilevel"/>
    <w:tmpl w:val="F91A0BAE"/>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3">
    <w:nsid w:val="718F4C41"/>
    <w:multiLevelType w:val="hybridMultilevel"/>
    <w:tmpl w:val="24FC1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9E64016"/>
    <w:multiLevelType w:val="hybridMultilevel"/>
    <w:tmpl w:val="B36A7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9E925C1"/>
    <w:multiLevelType w:val="hybridMultilevel"/>
    <w:tmpl w:val="35B4A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FDA28AB"/>
    <w:multiLevelType w:val="hybridMultilevel"/>
    <w:tmpl w:val="B234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14"/>
  </w:num>
  <w:num w:numId="4">
    <w:abstractNumId w:val="8"/>
  </w:num>
  <w:num w:numId="5">
    <w:abstractNumId w:val="16"/>
  </w:num>
  <w:num w:numId="6">
    <w:abstractNumId w:val="10"/>
  </w:num>
  <w:num w:numId="7">
    <w:abstractNumId w:val="24"/>
  </w:num>
  <w:num w:numId="8">
    <w:abstractNumId w:val="21"/>
  </w:num>
  <w:num w:numId="9">
    <w:abstractNumId w:val="11"/>
  </w:num>
  <w:num w:numId="10">
    <w:abstractNumId w:val="0"/>
  </w:num>
  <w:num w:numId="11">
    <w:abstractNumId w:val="25"/>
  </w:num>
  <w:num w:numId="12">
    <w:abstractNumId w:val="18"/>
  </w:num>
  <w:num w:numId="13">
    <w:abstractNumId w:val="20"/>
  </w:num>
  <w:num w:numId="14">
    <w:abstractNumId w:val="1"/>
  </w:num>
  <w:num w:numId="15">
    <w:abstractNumId w:val="5"/>
  </w:num>
  <w:num w:numId="16">
    <w:abstractNumId w:val="4"/>
  </w:num>
  <w:num w:numId="17">
    <w:abstractNumId w:val="19"/>
  </w:num>
  <w:num w:numId="18">
    <w:abstractNumId w:val="22"/>
  </w:num>
  <w:num w:numId="19">
    <w:abstractNumId w:val="12"/>
  </w:num>
  <w:num w:numId="20">
    <w:abstractNumId w:val="9"/>
  </w:num>
  <w:num w:numId="21">
    <w:abstractNumId w:val="23"/>
  </w:num>
  <w:num w:numId="22">
    <w:abstractNumId w:val="13"/>
  </w:num>
  <w:num w:numId="23">
    <w:abstractNumId w:val="2"/>
  </w:num>
  <w:num w:numId="24">
    <w:abstractNumId w:val="26"/>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6"/>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F97"/>
    <w:rsid w:val="00006C62"/>
    <w:rsid w:val="00006DB6"/>
    <w:rsid w:val="00010FB8"/>
    <w:rsid w:val="00011DC9"/>
    <w:rsid w:val="00014D7D"/>
    <w:rsid w:val="00016598"/>
    <w:rsid w:val="0002074A"/>
    <w:rsid w:val="00024ABB"/>
    <w:rsid w:val="00024B11"/>
    <w:rsid w:val="000262D9"/>
    <w:rsid w:val="00027FB8"/>
    <w:rsid w:val="0003226B"/>
    <w:rsid w:val="00034951"/>
    <w:rsid w:val="00046FB7"/>
    <w:rsid w:val="00047F84"/>
    <w:rsid w:val="00051780"/>
    <w:rsid w:val="00052D60"/>
    <w:rsid w:val="000552BE"/>
    <w:rsid w:val="0007086A"/>
    <w:rsid w:val="0007310E"/>
    <w:rsid w:val="000805B2"/>
    <w:rsid w:val="00084B88"/>
    <w:rsid w:val="00086741"/>
    <w:rsid w:val="00094281"/>
    <w:rsid w:val="00095D18"/>
    <w:rsid w:val="000964D5"/>
    <w:rsid w:val="0009783D"/>
    <w:rsid w:val="000A326E"/>
    <w:rsid w:val="000A396A"/>
    <w:rsid w:val="000A3D82"/>
    <w:rsid w:val="000C09E0"/>
    <w:rsid w:val="000C6201"/>
    <w:rsid w:val="000D0495"/>
    <w:rsid w:val="000D34FE"/>
    <w:rsid w:val="000D40A4"/>
    <w:rsid w:val="000D5AE4"/>
    <w:rsid w:val="000D61DA"/>
    <w:rsid w:val="000E0A7B"/>
    <w:rsid w:val="000E3CC1"/>
    <w:rsid w:val="000E4702"/>
    <w:rsid w:val="000E7734"/>
    <w:rsid w:val="000E78E3"/>
    <w:rsid w:val="000F2529"/>
    <w:rsid w:val="000F2C09"/>
    <w:rsid w:val="000F5E6B"/>
    <w:rsid w:val="000F66D1"/>
    <w:rsid w:val="00102D49"/>
    <w:rsid w:val="001079DE"/>
    <w:rsid w:val="00107B64"/>
    <w:rsid w:val="00112EE7"/>
    <w:rsid w:val="00115ACE"/>
    <w:rsid w:val="00120BFA"/>
    <w:rsid w:val="001239C4"/>
    <w:rsid w:val="0013239E"/>
    <w:rsid w:val="00137CD0"/>
    <w:rsid w:val="001438D8"/>
    <w:rsid w:val="00146435"/>
    <w:rsid w:val="00146BB6"/>
    <w:rsid w:val="001509D6"/>
    <w:rsid w:val="0015475F"/>
    <w:rsid w:val="00154A19"/>
    <w:rsid w:val="001559B5"/>
    <w:rsid w:val="0015673B"/>
    <w:rsid w:val="001736C0"/>
    <w:rsid w:val="00182826"/>
    <w:rsid w:val="00186BBD"/>
    <w:rsid w:val="00187903"/>
    <w:rsid w:val="00190490"/>
    <w:rsid w:val="001931CD"/>
    <w:rsid w:val="00196A88"/>
    <w:rsid w:val="0019750C"/>
    <w:rsid w:val="001A01FA"/>
    <w:rsid w:val="001A0A03"/>
    <w:rsid w:val="001A485E"/>
    <w:rsid w:val="001A4D66"/>
    <w:rsid w:val="001B20A1"/>
    <w:rsid w:val="001B6480"/>
    <w:rsid w:val="001C27CE"/>
    <w:rsid w:val="001C2BC1"/>
    <w:rsid w:val="001C5469"/>
    <w:rsid w:val="001C5548"/>
    <w:rsid w:val="001D1E29"/>
    <w:rsid w:val="001D7C6C"/>
    <w:rsid w:val="001E0234"/>
    <w:rsid w:val="001E1784"/>
    <w:rsid w:val="001E1C00"/>
    <w:rsid w:val="001E561D"/>
    <w:rsid w:val="001E5DCA"/>
    <w:rsid w:val="001F2714"/>
    <w:rsid w:val="001F28A1"/>
    <w:rsid w:val="001F4EC3"/>
    <w:rsid w:val="001F6271"/>
    <w:rsid w:val="00202C9F"/>
    <w:rsid w:val="00204E05"/>
    <w:rsid w:val="00212200"/>
    <w:rsid w:val="00215D22"/>
    <w:rsid w:val="00216B68"/>
    <w:rsid w:val="00220EA6"/>
    <w:rsid w:val="00220F58"/>
    <w:rsid w:val="002243BC"/>
    <w:rsid w:val="00227B1F"/>
    <w:rsid w:val="00230CB6"/>
    <w:rsid w:val="00231985"/>
    <w:rsid w:val="002340B5"/>
    <w:rsid w:val="00237DB9"/>
    <w:rsid w:val="0024052F"/>
    <w:rsid w:val="00244625"/>
    <w:rsid w:val="0026086C"/>
    <w:rsid w:val="0026698B"/>
    <w:rsid w:val="00272DC0"/>
    <w:rsid w:val="002778A3"/>
    <w:rsid w:val="00280462"/>
    <w:rsid w:val="002813B1"/>
    <w:rsid w:val="00282A2D"/>
    <w:rsid w:val="0029296D"/>
    <w:rsid w:val="00292F57"/>
    <w:rsid w:val="00294866"/>
    <w:rsid w:val="0029493E"/>
    <w:rsid w:val="00295610"/>
    <w:rsid w:val="00297A30"/>
    <w:rsid w:val="002A31AD"/>
    <w:rsid w:val="002A3396"/>
    <w:rsid w:val="002A3918"/>
    <w:rsid w:val="002A4452"/>
    <w:rsid w:val="002B34E5"/>
    <w:rsid w:val="002B4207"/>
    <w:rsid w:val="002B510B"/>
    <w:rsid w:val="002C07F5"/>
    <w:rsid w:val="002C3D26"/>
    <w:rsid w:val="002C596A"/>
    <w:rsid w:val="002C5C8B"/>
    <w:rsid w:val="002D0B12"/>
    <w:rsid w:val="002D0F75"/>
    <w:rsid w:val="002D1009"/>
    <w:rsid w:val="002D448C"/>
    <w:rsid w:val="002D5C2F"/>
    <w:rsid w:val="002D7C79"/>
    <w:rsid w:val="002E219E"/>
    <w:rsid w:val="002E31E6"/>
    <w:rsid w:val="002E3ED2"/>
    <w:rsid w:val="002F1A2F"/>
    <w:rsid w:val="002F2134"/>
    <w:rsid w:val="002F2A71"/>
    <w:rsid w:val="002F4C46"/>
    <w:rsid w:val="002F4D9A"/>
    <w:rsid w:val="003027F9"/>
    <w:rsid w:val="00302997"/>
    <w:rsid w:val="00303ACB"/>
    <w:rsid w:val="00305F6F"/>
    <w:rsid w:val="00314A69"/>
    <w:rsid w:val="003166EA"/>
    <w:rsid w:val="00316E39"/>
    <w:rsid w:val="003211E9"/>
    <w:rsid w:val="00322227"/>
    <w:rsid w:val="00323B19"/>
    <w:rsid w:val="003247A3"/>
    <w:rsid w:val="00325185"/>
    <w:rsid w:val="00327994"/>
    <w:rsid w:val="00327D8D"/>
    <w:rsid w:val="003355D5"/>
    <w:rsid w:val="00342EFC"/>
    <w:rsid w:val="00343DC8"/>
    <w:rsid w:val="00345DF9"/>
    <w:rsid w:val="0035007E"/>
    <w:rsid w:val="00351F59"/>
    <w:rsid w:val="00352108"/>
    <w:rsid w:val="00352F11"/>
    <w:rsid w:val="00353113"/>
    <w:rsid w:val="00361031"/>
    <w:rsid w:val="00364BE7"/>
    <w:rsid w:val="00365ED5"/>
    <w:rsid w:val="003717CD"/>
    <w:rsid w:val="0037203E"/>
    <w:rsid w:val="0037795B"/>
    <w:rsid w:val="00381B5E"/>
    <w:rsid w:val="003916B2"/>
    <w:rsid w:val="003A0124"/>
    <w:rsid w:val="003A05E7"/>
    <w:rsid w:val="003A5529"/>
    <w:rsid w:val="003A71E2"/>
    <w:rsid w:val="003B420B"/>
    <w:rsid w:val="003B583A"/>
    <w:rsid w:val="003B5DDB"/>
    <w:rsid w:val="003B70A4"/>
    <w:rsid w:val="003B79D0"/>
    <w:rsid w:val="003C14C2"/>
    <w:rsid w:val="003C29A1"/>
    <w:rsid w:val="003D0648"/>
    <w:rsid w:val="003E03A8"/>
    <w:rsid w:val="003E44DF"/>
    <w:rsid w:val="003E52E3"/>
    <w:rsid w:val="003E6771"/>
    <w:rsid w:val="003F0581"/>
    <w:rsid w:val="003F3146"/>
    <w:rsid w:val="003F35C4"/>
    <w:rsid w:val="003F46C7"/>
    <w:rsid w:val="00401312"/>
    <w:rsid w:val="00402D4B"/>
    <w:rsid w:val="004076FB"/>
    <w:rsid w:val="00411D55"/>
    <w:rsid w:val="0041314C"/>
    <w:rsid w:val="00421655"/>
    <w:rsid w:val="00423EE1"/>
    <w:rsid w:val="0042510C"/>
    <w:rsid w:val="0042640D"/>
    <w:rsid w:val="00432A3D"/>
    <w:rsid w:val="00436BEF"/>
    <w:rsid w:val="00440247"/>
    <w:rsid w:val="004411E4"/>
    <w:rsid w:val="004476CA"/>
    <w:rsid w:val="00453F38"/>
    <w:rsid w:val="00460565"/>
    <w:rsid w:val="0046151E"/>
    <w:rsid w:val="0046169E"/>
    <w:rsid w:val="00462013"/>
    <w:rsid w:val="00466286"/>
    <w:rsid w:val="00470BB0"/>
    <w:rsid w:val="00472682"/>
    <w:rsid w:val="00473B75"/>
    <w:rsid w:val="00474B64"/>
    <w:rsid w:val="00476C2A"/>
    <w:rsid w:val="0047714D"/>
    <w:rsid w:val="00477E6C"/>
    <w:rsid w:val="00480893"/>
    <w:rsid w:val="00484094"/>
    <w:rsid w:val="004869ED"/>
    <w:rsid w:val="00487B57"/>
    <w:rsid w:val="00490459"/>
    <w:rsid w:val="00491BF2"/>
    <w:rsid w:val="00495B30"/>
    <w:rsid w:val="00497CAC"/>
    <w:rsid w:val="004A122C"/>
    <w:rsid w:val="004A1703"/>
    <w:rsid w:val="004A2C80"/>
    <w:rsid w:val="004A53EE"/>
    <w:rsid w:val="004B381E"/>
    <w:rsid w:val="004B3E3E"/>
    <w:rsid w:val="004D08BB"/>
    <w:rsid w:val="004D1F58"/>
    <w:rsid w:val="004E002F"/>
    <w:rsid w:val="004E3F8F"/>
    <w:rsid w:val="004E412A"/>
    <w:rsid w:val="004F09BE"/>
    <w:rsid w:val="004F4D57"/>
    <w:rsid w:val="004F5634"/>
    <w:rsid w:val="004F7FB6"/>
    <w:rsid w:val="0050031D"/>
    <w:rsid w:val="0050662D"/>
    <w:rsid w:val="00507B29"/>
    <w:rsid w:val="00512780"/>
    <w:rsid w:val="005135F7"/>
    <w:rsid w:val="005143E0"/>
    <w:rsid w:val="00526FD6"/>
    <w:rsid w:val="00536B7D"/>
    <w:rsid w:val="00537BCF"/>
    <w:rsid w:val="0054305A"/>
    <w:rsid w:val="00544061"/>
    <w:rsid w:val="00545ABA"/>
    <w:rsid w:val="005613B9"/>
    <w:rsid w:val="005643B2"/>
    <w:rsid w:val="00566E9E"/>
    <w:rsid w:val="0057160E"/>
    <w:rsid w:val="005779FC"/>
    <w:rsid w:val="00582D60"/>
    <w:rsid w:val="00587045"/>
    <w:rsid w:val="00590BC0"/>
    <w:rsid w:val="00592203"/>
    <w:rsid w:val="005922AB"/>
    <w:rsid w:val="005A0852"/>
    <w:rsid w:val="005A269B"/>
    <w:rsid w:val="005A7F3E"/>
    <w:rsid w:val="005B0A08"/>
    <w:rsid w:val="005B0EF2"/>
    <w:rsid w:val="005B30E0"/>
    <w:rsid w:val="005C06EC"/>
    <w:rsid w:val="005C0C42"/>
    <w:rsid w:val="005C29C7"/>
    <w:rsid w:val="005C5EA6"/>
    <w:rsid w:val="005C6A77"/>
    <w:rsid w:val="005D0B67"/>
    <w:rsid w:val="005D1B8C"/>
    <w:rsid w:val="005D3ADC"/>
    <w:rsid w:val="005D3C62"/>
    <w:rsid w:val="005E050D"/>
    <w:rsid w:val="005E1DCE"/>
    <w:rsid w:val="005E2B32"/>
    <w:rsid w:val="005E3088"/>
    <w:rsid w:val="005E398D"/>
    <w:rsid w:val="005E4689"/>
    <w:rsid w:val="005E6E0C"/>
    <w:rsid w:val="005F62BC"/>
    <w:rsid w:val="00600792"/>
    <w:rsid w:val="006020A1"/>
    <w:rsid w:val="006148CF"/>
    <w:rsid w:val="00617E44"/>
    <w:rsid w:val="006227F7"/>
    <w:rsid w:val="00626118"/>
    <w:rsid w:val="00631683"/>
    <w:rsid w:val="00644C12"/>
    <w:rsid w:val="00645106"/>
    <w:rsid w:val="00645E70"/>
    <w:rsid w:val="00647902"/>
    <w:rsid w:val="00652F81"/>
    <w:rsid w:val="00653964"/>
    <w:rsid w:val="006553F0"/>
    <w:rsid w:val="006564C0"/>
    <w:rsid w:val="006603AC"/>
    <w:rsid w:val="006610F4"/>
    <w:rsid w:val="00670D5A"/>
    <w:rsid w:val="006718DC"/>
    <w:rsid w:val="00671ECB"/>
    <w:rsid w:val="006757C8"/>
    <w:rsid w:val="0067673A"/>
    <w:rsid w:val="0067779F"/>
    <w:rsid w:val="0068100F"/>
    <w:rsid w:val="00684C19"/>
    <w:rsid w:val="006A1BBB"/>
    <w:rsid w:val="006A4070"/>
    <w:rsid w:val="006A4B0B"/>
    <w:rsid w:val="006A561C"/>
    <w:rsid w:val="006A747B"/>
    <w:rsid w:val="006B02FA"/>
    <w:rsid w:val="006B5D16"/>
    <w:rsid w:val="006C0E3D"/>
    <w:rsid w:val="006C3ECA"/>
    <w:rsid w:val="006C6AC7"/>
    <w:rsid w:val="006C7417"/>
    <w:rsid w:val="006C7895"/>
    <w:rsid w:val="006D0435"/>
    <w:rsid w:val="006D09D2"/>
    <w:rsid w:val="006D407E"/>
    <w:rsid w:val="006D64BF"/>
    <w:rsid w:val="006D744A"/>
    <w:rsid w:val="006E19D5"/>
    <w:rsid w:val="006E21BC"/>
    <w:rsid w:val="006E35AC"/>
    <w:rsid w:val="006E4D93"/>
    <w:rsid w:val="006E6BCD"/>
    <w:rsid w:val="006E7A90"/>
    <w:rsid w:val="006F0165"/>
    <w:rsid w:val="006F1309"/>
    <w:rsid w:val="006F168B"/>
    <w:rsid w:val="006F16AA"/>
    <w:rsid w:val="006F22A8"/>
    <w:rsid w:val="006F3FC1"/>
    <w:rsid w:val="006F57CD"/>
    <w:rsid w:val="006F58AC"/>
    <w:rsid w:val="00700A46"/>
    <w:rsid w:val="007022F3"/>
    <w:rsid w:val="00703842"/>
    <w:rsid w:val="007068D2"/>
    <w:rsid w:val="00713B1F"/>
    <w:rsid w:val="00716E85"/>
    <w:rsid w:val="007209B9"/>
    <w:rsid w:val="007275E3"/>
    <w:rsid w:val="00736915"/>
    <w:rsid w:val="00741461"/>
    <w:rsid w:val="00744D63"/>
    <w:rsid w:val="00746A72"/>
    <w:rsid w:val="00750698"/>
    <w:rsid w:val="00752EFF"/>
    <w:rsid w:val="007572EC"/>
    <w:rsid w:val="00757450"/>
    <w:rsid w:val="00760B8D"/>
    <w:rsid w:val="007619A5"/>
    <w:rsid w:val="00771C0F"/>
    <w:rsid w:val="00780CB1"/>
    <w:rsid w:val="00784465"/>
    <w:rsid w:val="00785CEA"/>
    <w:rsid w:val="00791CE0"/>
    <w:rsid w:val="00792A25"/>
    <w:rsid w:val="007A26E1"/>
    <w:rsid w:val="007A3C47"/>
    <w:rsid w:val="007B0007"/>
    <w:rsid w:val="007B479B"/>
    <w:rsid w:val="007B4D1B"/>
    <w:rsid w:val="007B783A"/>
    <w:rsid w:val="007C44C9"/>
    <w:rsid w:val="007C6973"/>
    <w:rsid w:val="007D1F1E"/>
    <w:rsid w:val="007D4868"/>
    <w:rsid w:val="007D4D5E"/>
    <w:rsid w:val="007E0BA2"/>
    <w:rsid w:val="007E1772"/>
    <w:rsid w:val="007E313B"/>
    <w:rsid w:val="007E3C63"/>
    <w:rsid w:val="007E4766"/>
    <w:rsid w:val="007E6388"/>
    <w:rsid w:val="007F05F3"/>
    <w:rsid w:val="007F3A88"/>
    <w:rsid w:val="007F5B99"/>
    <w:rsid w:val="007F7861"/>
    <w:rsid w:val="0080251F"/>
    <w:rsid w:val="00807FC9"/>
    <w:rsid w:val="008131BD"/>
    <w:rsid w:val="00814845"/>
    <w:rsid w:val="00822CB6"/>
    <w:rsid w:val="0082338B"/>
    <w:rsid w:val="00824AB6"/>
    <w:rsid w:val="00825C24"/>
    <w:rsid w:val="00830193"/>
    <w:rsid w:val="00831EC4"/>
    <w:rsid w:val="008338CD"/>
    <w:rsid w:val="008356A0"/>
    <w:rsid w:val="00836646"/>
    <w:rsid w:val="00842848"/>
    <w:rsid w:val="00845845"/>
    <w:rsid w:val="008465C1"/>
    <w:rsid w:val="00846A02"/>
    <w:rsid w:val="0085043F"/>
    <w:rsid w:val="00850ED0"/>
    <w:rsid w:val="008513A3"/>
    <w:rsid w:val="00852AF9"/>
    <w:rsid w:val="00852FF4"/>
    <w:rsid w:val="00857EAF"/>
    <w:rsid w:val="008608A9"/>
    <w:rsid w:val="00861ADC"/>
    <w:rsid w:val="00863C38"/>
    <w:rsid w:val="008663B6"/>
    <w:rsid w:val="008664F1"/>
    <w:rsid w:val="00875985"/>
    <w:rsid w:val="00881D16"/>
    <w:rsid w:val="00885DAF"/>
    <w:rsid w:val="0088646B"/>
    <w:rsid w:val="00886F8F"/>
    <w:rsid w:val="00894E8A"/>
    <w:rsid w:val="00896A1A"/>
    <w:rsid w:val="008972BA"/>
    <w:rsid w:val="008A02EC"/>
    <w:rsid w:val="008A05B8"/>
    <w:rsid w:val="008A18C0"/>
    <w:rsid w:val="008B2F64"/>
    <w:rsid w:val="008B681D"/>
    <w:rsid w:val="008B6D85"/>
    <w:rsid w:val="008C0B66"/>
    <w:rsid w:val="008D4F8A"/>
    <w:rsid w:val="008D5D99"/>
    <w:rsid w:val="008E1B1B"/>
    <w:rsid w:val="008E49ED"/>
    <w:rsid w:val="008F18E3"/>
    <w:rsid w:val="008F2DA6"/>
    <w:rsid w:val="008F42C2"/>
    <w:rsid w:val="008F5FCD"/>
    <w:rsid w:val="008F6418"/>
    <w:rsid w:val="008F691D"/>
    <w:rsid w:val="00901FF1"/>
    <w:rsid w:val="00907FF5"/>
    <w:rsid w:val="00910528"/>
    <w:rsid w:val="00913DE4"/>
    <w:rsid w:val="0091408C"/>
    <w:rsid w:val="009145F7"/>
    <w:rsid w:val="00916BD8"/>
    <w:rsid w:val="00922501"/>
    <w:rsid w:val="00922E86"/>
    <w:rsid w:val="00922EE6"/>
    <w:rsid w:val="00924282"/>
    <w:rsid w:val="009257DB"/>
    <w:rsid w:val="00935B74"/>
    <w:rsid w:val="00935DBF"/>
    <w:rsid w:val="009407A4"/>
    <w:rsid w:val="0094090C"/>
    <w:rsid w:val="00952110"/>
    <w:rsid w:val="00953634"/>
    <w:rsid w:val="00954E0C"/>
    <w:rsid w:val="0095746E"/>
    <w:rsid w:val="009661D8"/>
    <w:rsid w:val="009739BE"/>
    <w:rsid w:val="009740C1"/>
    <w:rsid w:val="0097781C"/>
    <w:rsid w:val="009807AB"/>
    <w:rsid w:val="00981694"/>
    <w:rsid w:val="00982ACA"/>
    <w:rsid w:val="009832F6"/>
    <w:rsid w:val="009874FF"/>
    <w:rsid w:val="00987660"/>
    <w:rsid w:val="00987751"/>
    <w:rsid w:val="00992F30"/>
    <w:rsid w:val="0099691A"/>
    <w:rsid w:val="009971C8"/>
    <w:rsid w:val="0099763F"/>
    <w:rsid w:val="009A3832"/>
    <w:rsid w:val="009A6C6F"/>
    <w:rsid w:val="009B3635"/>
    <w:rsid w:val="009B48AE"/>
    <w:rsid w:val="009B49C8"/>
    <w:rsid w:val="009B515C"/>
    <w:rsid w:val="009B65FE"/>
    <w:rsid w:val="009C018D"/>
    <w:rsid w:val="009C1548"/>
    <w:rsid w:val="009C5824"/>
    <w:rsid w:val="009D41A2"/>
    <w:rsid w:val="009D5203"/>
    <w:rsid w:val="009E0207"/>
    <w:rsid w:val="009E0FB8"/>
    <w:rsid w:val="009E735F"/>
    <w:rsid w:val="009F0B18"/>
    <w:rsid w:val="009F19BC"/>
    <w:rsid w:val="009F202E"/>
    <w:rsid w:val="009F4779"/>
    <w:rsid w:val="009F7899"/>
    <w:rsid w:val="00A028C9"/>
    <w:rsid w:val="00A06F1A"/>
    <w:rsid w:val="00A12853"/>
    <w:rsid w:val="00A14499"/>
    <w:rsid w:val="00A1570B"/>
    <w:rsid w:val="00A15D3A"/>
    <w:rsid w:val="00A20E2F"/>
    <w:rsid w:val="00A2491F"/>
    <w:rsid w:val="00A257D9"/>
    <w:rsid w:val="00A30028"/>
    <w:rsid w:val="00A34D80"/>
    <w:rsid w:val="00A34DC8"/>
    <w:rsid w:val="00A41E72"/>
    <w:rsid w:val="00A45D13"/>
    <w:rsid w:val="00A45F80"/>
    <w:rsid w:val="00A5526E"/>
    <w:rsid w:val="00A67BBA"/>
    <w:rsid w:val="00A67C00"/>
    <w:rsid w:val="00A712F9"/>
    <w:rsid w:val="00A724DE"/>
    <w:rsid w:val="00A72F2D"/>
    <w:rsid w:val="00A76AE4"/>
    <w:rsid w:val="00A77F85"/>
    <w:rsid w:val="00A82344"/>
    <w:rsid w:val="00A8257B"/>
    <w:rsid w:val="00A839FA"/>
    <w:rsid w:val="00A85672"/>
    <w:rsid w:val="00A86908"/>
    <w:rsid w:val="00A8723D"/>
    <w:rsid w:val="00A872C5"/>
    <w:rsid w:val="00A87782"/>
    <w:rsid w:val="00A90110"/>
    <w:rsid w:val="00A93752"/>
    <w:rsid w:val="00A9401E"/>
    <w:rsid w:val="00AA0340"/>
    <w:rsid w:val="00AA1D9C"/>
    <w:rsid w:val="00AA552D"/>
    <w:rsid w:val="00AB0F86"/>
    <w:rsid w:val="00AB6BE2"/>
    <w:rsid w:val="00AC1634"/>
    <w:rsid w:val="00AC3BEF"/>
    <w:rsid w:val="00AC55F3"/>
    <w:rsid w:val="00AC6B0E"/>
    <w:rsid w:val="00AD55BC"/>
    <w:rsid w:val="00AD6FC6"/>
    <w:rsid w:val="00AD73B3"/>
    <w:rsid w:val="00AD78C8"/>
    <w:rsid w:val="00AF20A9"/>
    <w:rsid w:val="00AF26E3"/>
    <w:rsid w:val="00AF3603"/>
    <w:rsid w:val="00AF427B"/>
    <w:rsid w:val="00AF577D"/>
    <w:rsid w:val="00AF6784"/>
    <w:rsid w:val="00B00218"/>
    <w:rsid w:val="00B05315"/>
    <w:rsid w:val="00B06122"/>
    <w:rsid w:val="00B07B90"/>
    <w:rsid w:val="00B07FE5"/>
    <w:rsid w:val="00B12992"/>
    <w:rsid w:val="00B3202D"/>
    <w:rsid w:val="00B34207"/>
    <w:rsid w:val="00B36F7A"/>
    <w:rsid w:val="00B37214"/>
    <w:rsid w:val="00B416A8"/>
    <w:rsid w:val="00B43271"/>
    <w:rsid w:val="00B43F2B"/>
    <w:rsid w:val="00B44CC2"/>
    <w:rsid w:val="00B46629"/>
    <w:rsid w:val="00B473CD"/>
    <w:rsid w:val="00B477EE"/>
    <w:rsid w:val="00B50947"/>
    <w:rsid w:val="00B51DCE"/>
    <w:rsid w:val="00B56831"/>
    <w:rsid w:val="00B720E1"/>
    <w:rsid w:val="00B73330"/>
    <w:rsid w:val="00B74730"/>
    <w:rsid w:val="00B74813"/>
    <w:rsid w:val="00B75D3C"/>
    <w:rsid w:val="00B760E1"/>
    <w:rsid w:val="00B76A36"/>
    <w:rsid w:val="00B77C3E"/>
    <w:rsid w:val="00B80061"/>
    <w:rsid w:val="00B8016E"/>
    <w:rsid w:val="00B84A8C"/>
    <w:rsid w:val="00B87EB2"/>
    <w:rsid w:val="00B91132"/>
    <w:rsid w:val="00B932F6"/>
    <w:rsid w:val="00B93BED"/>
    <w:rsid w:val="00B95519"/>
    <w:rsid w:val="00B971C7"/>
    <w:rsid w:val="00BA0392"/>
    <w:rsid w:val="00BA0AD8"/>
    <w:rsid w:val="00BA7973"/>
    <w:rsid w:val="00BB23ED"/>
    <w:rsid w:val="00BC029D"/>
    <w:rsid w:val="00BC32F1"/>
    <w:rsid w:val="00BC3D9D"/>
    <w:rsid w:val="00BC463F"/>
    <w:rsid w:val="00BC66C6"/>
    <w:rsid w:val="00BD0754"/>
    <w:rsid w:val="00BE0CCC"/>
    <w:rsid w:val="00BE1A53"/>
    <w:rsid w:val="00BE1A6A"/>
    <w:rsid w:val="00BE2235"/>
    <w:rsid w:val="00BE5CE6"/>
    <w:rsid w:val="00BE6111"/>
    <w:rsid w:val="00BF2307"/>
    <w:rsid w:val="00BF425B"/>
    <w:rsid w:val="00BF44AA"/>
    <w:rsid w:val="00C070C8"/>
    <w:rsid w:val="00C10DB0"/>
    <w:rsid w:val="00C156C1"/>
    <w:rsid w:val="00C200DB"/>
    <w:rsid w:val="00C24166"/>
    <w:rsid w:val="00C243F3"/>
    <w:rsid w:val="00C309F3"/>
    <w:rsid w:val="00C37706"/>
    <w:rsid w:val="00C37AF3"/>
    <w:rsid w:val="00C413C6"/>
    <w:rsid w:val="00C42CC7"/>
    <w:rsid w:val="00C4564F"/>
    <w:rsid w:val="00C462AC"/>
    <w:rsid w:val="00C4694D"/>
    <w:rsid w:val="00C575B3"/>
    <w:rsid w:val="00C61E4B"/>
    <w:rsid w:val="00C67A51"/>
    <w:rsid w:val="00C702AF"/>
    <w:rsid w:val="00C70EF9"/>
    <w:rsid w:val="00C71AF5"/>
    <w:rsid w:val="00C7428F"/>
    <w:rsid w:val="00C749BB"/>
    <w:rsid w:val="00C75F1B"/>
    <w:rsid w:val="00C80834"/>
    <w:rsid w:val="00C80919"/>
    <w:rsid w:val="00C8292F"/>
    <w:rsid w:val="00C83396"/>
    <w:rsid w:val="00C84B76"/>
    <w:rsid w:val="00C851D8"/>
    <w:rsid w:val="00C901C0"/>
    <w:rsid w:val="00C9059D"/>
    <w:rsid w:val="00C92F1D"/>
    <w:rsid w:val="00C94F6E"/>
    <w:rsid w:val="00C9578B"/>
    <w:rsid w:val="00C962EE"/>
    <w:rsid w:val="00CA22B0"/>
    <w:rsid w:val="00CA6A74"/>
    <w:rsid w:val="00CB5DF8"/>
    <w:rsid w:val="00CB64CF"/>
    <w:rsid w:val="00CB6FD3"/>
    <w:rsid w:val="00CB782F"/>
    <w:rsid w:val="00CB7FF0"/>
    <w:rsid w:val="00CC0EA4"/>
    <w:rsid w:val="00CC31FD"/>
    <w:rsid w:val="00CC36C4"/>
    <w:rsid w:val="00CC4EB4"/>
    <w:rsid w:val="00CC5596"/>
    <w:rsid w:val="00CC7852"/>
    <w:rsid w:val="00CD073F"/>
    <w:rsid w:val="00CD5C8B"/>
    <w:rsid w:val="00CE1136"/>
    <w:rsid w:val="00CE36C8"/>
    <w:rsid w:val="00CE384B"/>
    <w:rsid w:val="00CE740F"/>
    <w:rsid w:val="00CF0F67"/>
    <w:rsid w:val="00CF1691"/>
    <w:rsid w:val="00CF49C7"/>
    <w:rsid w:val="00CF6450"/>
    <w:rsid w:val="00D004CA"/>
    <w:rsid w:val="00D01D27"/>
    <w:rsid w:val="00D11AAC"/>
    <w:rsid w:val="00D12381"/>
    <w:rsid w:val="00D200A5"/>
    <w:rsid w:val="00D200D5"/>
    <w:rsid w:val="00D27413"/>
    <w:rsid w:val="00D33471"/>
    <w:rsid w:val="00D3437B"/>
    <w:rsid w:val="00D36101"/>
    <w:rsid w:val="00D36CBF"/>
    <w:rsid w:val="00D3727B"/>
    <w:rsid w:val="00D417B0"/>
    <w:rsid w:val="00D424DE"/>
    <w:rsid w:val="00D44781"/>
    <w:rsid w:val="00D4696A"/>
    <w:rsid w:val="00D46FE5"/>
    <w:rsid w:val="00D479A7"/>
    <w:rsid w:val="00D47FD9"/>
    <w:rsid w:val="00D515E8"/>
    <w:rsid w:val="00D568CD"/>
    <w:rsid w:val="00D57E08"/>
    <w:rsid w:val="00D60DB8"/>
    <w:rsid w:val="00D62C59"/>
    <w:rsid w:val="00D62FCD"/>
    <w:rsid w:val="00D668A9"/>
    <w:rsid w:val="00D678CF"/>
    <w:rsid w:val="00D745F9"/>
    <w:rsid w:val="00D8217E"/>
    <w:rsid w:val="00D843BE"/>
    <w:rsid w:val="00D849D2"/>
    <w:rsid w:val="00D85307"/>
    <w:rsid w:val="00D866BB"/>
    <w:rsid w:val="00D9033B"/>
    <w:rsid w:val="00D91F9A"/>
    <w:rsid w:val="00D94C53"/>
    <w:rsid w:val="00D97EDE"/>
    <w:rsid w:val="00DA0A1B"/>
    <w:rsid w:val="00DA1216"/>
    <w:rsid w:val="00DB151A"/>
    <w:rsid w:val="00DB4277"/>
    <w:rsid w:val="00DB5608"/>
    <w:rsid w:val="00DB5A39"/>
    <w:rsid w:val="00DB633A"/>
    <w:rsid w:val="00DB65F0"/>
    <w:rsid w:val="00DC1364"/>
    <w:rsid w:val="00DC29EC"/>
    <w:rsid w:val="00DC4672"/>
    <w:rsid w:val="00DD0950"/>
    <w:rsid w:val="00DD1D5B"/>
    <w:rsid w:val="00DD2747"/>
    <w:rsid w:val="00DD52CC"/>
    <w:rsid w:val="00DE157B"/>
    <w:rsid w:val="00DE7E1C"/>
    <w:rsid w:val="00DF1011"/>
    <w:rsid w:val="00E01C6C"/>
    <w:rsid w:val="00E05782"/>
    <w:rsid w:val="00E10419"/>
    <w:rsid w:val="00E1076C"/>
    <w:rsid w:val="00E157EF"/>
    <w:rsid w:val="00E16C26"/>
    <w:rsid w:val="00E248D3"/>
    <w:rsid w:val="00E25E67"/>
    <w:rsid w:val="00E312C3"/>
    <w:rsid w:val="00E41DC0"/>
    <w:rsid w:val="00E46B68"/>
    <w:rsid w:val="00E53358"/>
    <w:rsid w:val="00E719BB"/>
    <w:rsid w:val="00E72A68"/>
    <w:rsid w:val="00E738C5"/>
    <w:rsid w:val="00E73EBE"/>
    <w:rsid w:val="00E7489C"/>
    <w:rsid w:val="00E76886"/>
    <w:rsid w:val="00E967CC"/>
    <w:rsid w:val="00EA6453"/>
    <w:rsid w:val="00EA7B43"/>
    <w:rsid w:val="00EA7E91"/>
    <w:rsid w:val="00EB185B"/>
    <w:rsid w:val="00EB43D0"/>
    <w:rsid w:val="00EB556C"/>
    <w:rsid w:val="00EC0A32"/>
    <w:rsid w:val="00EC300C"/>
    <w:rsid w:val="00EC5BE4"/>
    <w:rsid w:val="00ED197F"/>
    <w:rsid w:val="00ED7A28"/>
    <w:rsid w:val="00EE3E16"/>
    <w:rsid w:val="00EE4664"/>
    <w:rsid w:val="00EE49EC"/>
    <w:rsid w:val="00EE5884"/>
    <w:rsid w:val="00EF3CC6"/>
    <w:rsid w:val="00F006D0"/>
    <w:rsid w:val="00F01F2A"/>
    <w:rsid w:val="00F02469"/>
    <w:rsid w:val="00F03A59"/>
    <w:rsid w:val="00F06F9E"/>
    <w:rsid w:val="00F1461E"/>
    <w:rsid w:val="00F21C8F"/>
    <w:rsid w:val="00F32CF7"/>
    <w:rsid w:val="00F41FC4"/>
    <w:rsid w:val="00F42142"/>
    <w:rsid w:val="00F42C7F"/>
    <w:rsid w:val="00F46942"/>
    <w:rsid w:val="00F46CEE"/>
    <w:rsid w:val="00F46E7F"/>
    <w:rsid w:val="00F522C0"/>
    <w:rsid w:val="00F53446"/>
    <w:rsid w:val="00F63849"/>
    <w:rsid w:val="00F63EEC"/>
    <w:rsid w:val="00F658B0"/>
    <w:rsid w:val="00F66F97"/>
    <w:rsid w:val="00F71985"/>
    <w:rsid w:val="00F71FCC"/>
    <w:rsid w:val="00F77F99"/>
    <w:rsid w:val="00F82149"/>
    <w:rsid w:val="00F854B5"/>
    <w:rsid w:val="00F85ED1"/>
    <w:rsid w:val="00F90E45"/>
    <w:rsid w:val="00F96A21"/>
    <w:rsid w:val="00FA2FC2"/>
    <w:rsid w:val="00FA3BF5"/>
    <w:rsid w:val="00FA4444"/>
    <w:rsid w:val="00FA76EF"/>
    <w:rsid w:val="00FA7C66"/>
    <w:rsid w:val="00FB5A9B"/>
    <w:rsid w:val="00FB614E"/>
    <w:rsid w:val="00FC0BDA"/>
    <w:rsid w:val="00FC250C"/>
    <w:rsid w:val="00FC41AE"/>
    <w:rsid w:val="00FC7F89"/>
    <w:rsid w:val="00FD13A1"/>
    <w:rsid w:val="00FD4370"/>
    <w:rsid w:val="00FD5F59"/>
    <w:rsid w:val="00FE13E4"/>
    <w:rsid w:val="00FE2E75"/>
    <w:rsid w:val="00FE492B"/>
    <w:rsid w:val="00FF286B"/>
    <w:rsid w:val="00FF3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64"/>
    <w:pPr>
      <w:spacing w:after="0"/>
    </w:pPr>
    <w:rPr>
      <w:rFonts w:ascii="Arial" w:hAnsi="Arial"/>
    </w:rPr>
  </w:style>
  <w:style w:type="paragraph" w:styleId="Heading1">
    <w:name w:val="heading 1"/>
    <w:basedOn w:val="Normal"/>
    <w:next w:val="Normal"/>
    <w:link w:val="Heading1Char"/>
    <w:uiPriority w:val="9"/>
    <w:qFormat/>
    <w:rsid w:val="00EE4664"/>
    <w:pPr>
      <w:keepNext/>
      <w:keepLines/>
      <w:numPr>
        <w:numId w:val="4"/>
      </w:numPr>
      <w:spacing w:after="12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D3727B"/>
    <w:pPr>
      <w:keepNext/>
      <w:keepLines/>
      <w:numPr>
        <w:ilvl w:val="1"/>
        <w:numId w:val="4"/>
      </w:numPr>
      <w:spacing w:before="20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unhideWhenUsed/>
    <w:qFormat/>
    <w:rsid w:val="00CC5596"/>
    <w:pPr>
      <w:keepNext/>
      <w:keepLines/>
      <w:numPr>
        <w:ilvl w:val="2"/>
        <w:numId w:val="4"/>
      </w:numPr>
      <w:spacing w:before="200"/>
      <w:outlineLvl w:val="2"/>
    </w:pPr>
    <w:rPr>
      <w:rFonts w:eastAsiaTheme="majorEastAsia" w:cstheme="majorBidi"/>
      <w:b/>
      <w:bCs/>
      <w:sz w:val="24"/>
    </w:rPr>
  </w:style>
  <w:style w:type="paragraph" w:styleId="Heading4">
    <w:name w:val="heading 4"/>
    <w:basedOn w:val="Normal"/>
    <w:next w:val="Normal"/>
    <w:link w:val="Heading4Char"/>
    <w:uiPriority w:val="9"/>
    <w:semiHidden/>
    <w:unhideWhenUsed/>
    <w:qFormat/>
    <w:rsid w:val="00D3727B"/>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3727B"/>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3727B"/>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3727B"/>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3727B"/>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3727B"/>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6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664"/>
    <w:rPr>
      <w:rFonts w:ascii="Tahoma" w:hAnsi="Tahoma" w:cs="Tahoma"/>
      <w:sz w:val="16"/>
      <w:szCs w:val="16"/>
    </w:rPr>
  </w:style>
  <w:style w:type="character" w:customStyle="1" w:styleId="Heading1Char">
    <w:name w:val="Heading 1 Char"/>
    <w:basedOn w:val="DefaultParagraphFont"/>
    <w:link w:val="Heading1"/>
    <w:uiPriority w:val="9"/>
    <w:rsid w:val="00EE4664"/>
    <w:rPr>
      <w:rFonts w:ascii="Arial" w:eastAsiaTheme="majorEastAsia" w:hAnsi="Arial" w:cstheme="majorBidi"/>
      <w:b/>
      <w:bCs/>
      <w:color w:val="000000" w:themeColor="text1"/>
      <w:sz w:val="28"/>
      <w:szCs w:val="28"/>
    </w:rPr>
  </w:style>
  <w:style w:type="paragraph" w:styleId="ListParagraph">
    <w:name w:val="List Paragraph"/>
    <w:basedOn w:val="Normal"/>
    <w:uiPriority w:val="34"/>
    <w:qFormat/>
    <w:rsid w:val="00AC55F3"/>
    <w:pPr>
      <w:ind w:left="720"/>
      <w:contextualSpacing/>
    </w:pPr>
  </w:style>
  <w:style w:type="character" w:customStyle="1" w:styleId="Heading2Char">
    <w:name w:val="Heading 2 Char"/>
    <w:basedOn w:val="DefaultParagraphFont"/>
    <w:link w:val="Heading2"/>
    <w:uiPriority w:val="9"/>
    <w:rsid w:val="00D3727B"/>
    <w:rPr>
      <w:rFonts w:ascii="Arial" w:eastAsiaTheme="majorEastAsia" w:hAnsi="Arial" w:cstheme="majorBidi"/>
      <w:b/>
      <w:bCs/>
      <w:color w:val="000000" w:themeColor="text1"/>
      <w:sz w:val="24"/>
      <w:szCs w:val="26"/>
    </w:rPr>
  </w:style>
  <w:style w:type="character" w:customStyle="1" w:styleId="Heading3Char">
    <w:name w:val="Heading 3 Char"/>
    <w:basedOn w:val="DefaultParagraphFont"/>
    <w:link w:val="Heading3"/>
    <w:uiPriority w:val="9"/>
    <w:rsid w:val="00CC5596"/>
    <w:rPr>
      <w:rFonts w:ascii="Arial" w:eastAsiaTheme="majorEastAsia" w:hAnsi="Arial" w:cstheme="majorBidi"/>
      <w:b/>
      <w:bCs/>
      <w:sz w:val="24"/>
    </w:rPr>
  </w:style>
  <w:style w:type="character" w:customStyle="1" w:styleId="Heading4Char">
    <w:name w:val="Heading 4 Char"/>
    <w:basedOn w:val="DefaultParagraphFont"/>
    <w:link w:val="Heading4"/>
    <w:uiPriority w:val="9"/>
    <w:semiHidden/>
    <w:rsid w:val="00D372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372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372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372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372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3727B"/>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D3727B"/>
    <w:pPr>
      <w:spacing w:after="0" w:line="240" w:lineRule="auto"/>
    </w:pPr>
    <w:rPr>
      <w:rFonts w:ascii="Arial" w:hAnsi="Arial"/>
    </w:rPr>
  </w:style>
  <w:style w:type="table" w:styleId="TableGrid">
    <w:name w:val="Table Grid"/>
    <w:basedOn w:val="TableNormal"/>
    <w:uiPriority w:val="59"/>
    <w:rsid w:val="00824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719BB"/>
    <w:pPr>
      <w:spacing w:line="240" w:lineRule="auto"/>
    </w:pPr>
    <w:rPr>
      <w:sz w:val="20"/>
      <w:szCs w:val="20"/>
    </w:rPr>
  </w:style>
  <w:style w:type="character" w:customStyle="1" w:styleId="FootnoteTextChar">
    <w:name w:val="Footnote Text Char"/>
    <w:basedOn w:val="DefaultParagraphFont"/>
    <w:link w:val="FootnoteText"/>
    <w:uiPriority w:val="99"/>
    <w:semiHidden/>
    <w:rsid w:val="00E719BB"/>
    <w:rPr>
      <w:rFonts w:ascii="Arial" w:hAnsi="Arial"/>
      <w:sz w:val="20"/>
      <w:szCs w:val="20"/>
    </w:rPr>
  </w:style>
  <w:style w:type="character" w:styleId="FootnoteReference">
    <w:name w:val="footnote reference"/>
    <w:basedOn w:val="DefaultParagraphFont"/>
    <w:uiPriority w:val="99"/>
    <w:semiHidden/>
    <w:unhideWhenUsed/>
    <w:rsid w:val="00E719BB"/>
    <w:rPr>
      <w:vertAlign w:val="superscript"/>
    </w:rPr>
  </w:style>
  <w:style w:type="character" w:styleId="Hyperlink">
    <w:name w:val="Hyperlink"/>
    <w:basedOn w:val="DefaultParagraphFont"/>
    <w:uiPriority w:val="99"/>
    <w:unhideWhenUsed/>
    <w:rsid w:val="00D866BB"/>
    <w:rPr>
      <w:color w:val="0000FF" w:themeColor="hyperlink"/>
      <w:u w:val="single"/>
    </w:rPr>
  </w:style>
  <w:style w:type="table" w:customStyle="1" w:styleId="RFOTableFormat">
    <w:name w:val="RFO Table Format"/>
    <w:basedOn w:val="TableNormal"/>
    <w:uiPriority w:val="99"/>
    <w:qFormat/>
    <w:rsid w:val="0026086C"/>
    <w:pPr>
      <w:spacing w:after="0" w:line="240" w:lineRule="auto"/>
    </w:pPr>
    <w:rPr>
      <w:rFonts w:ascii="Arial" w:hAnsi="Arial"/>
      <w:sz w:val="20"/>
      <w:lang w:val="en-US"/>
    </w:rPr>
    <w:tblPr/>
    <w:tblStylePr w:type="firstRow">
      <w:rPr>
        <w:rFonts w:ascii="Arial" w:hAnsi="Arial"/>
        <w:b/>
        <w:sz w:val="20"/>
      </w:rPr>
      <w:tblPr/>
      <w:tcPr>
        <w:tcBorders>
          <w:top w:val="single" w:sz="4" w:space="0" w:color="auto"/>
          <w:bottom w:val="single" w:sz="4" w:space="0" w:color="auto"/>
        </w:tcBorders>
      </w:tcPr>
    </w:tblStylePr>
    <w:tblStylePr w:type="lastRow">
      <w:pPr>
        <w:jc w:val="center"/>
      </w:pPr>
      <w:rPr>
        <w:rFonts w:ascii="Arial" w:hAnsi="Arial"/>
        <w:b/>
        <w:color w:val="auto"/>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0000" w:themeFill="text1"/>
      </w:tcPr>
    </w:tblStylePr>
    <w:tblStylePr w:type="lastCol">
      <w:tblPr/>
      <w:tcPr>
        <w:tcBorders>
          <w:top w:val="nil"/>
          <w:left w:val="nil"/>
          <w:bottom w:val="nil"/>
          <w:right w:val="nil"/>
          <w:insideH w:val="nil"/>
          <w:insideV w:val="nil"/>
          <w:tl2br w:val="nil"/>
          <w:tr2bl w:val="nil"/>
        </w:tcBorders>
      </w:tcPr>
    </w:tblStylePr>
  </w:style>
  <w:style w:type="table" w:styleId="LightShading">
    <w:name w:val="Light Shading"/>
    <w:basedOn w:val="TableNormal"/>
    <w:uiPriority w:val="60"/>
    <w:rsid w:val="002E31E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Accent1">
    <w:name w:val="Medium Shading 1 Accent 1"/>
    <w:basedOn w:val="TableNormal"/>
    <w:uiPriority w:val="63"/>
    <w:rsid w:val="00CC559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617E4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Caption">
    <w:name w:val="caption"/>
    <w:basedOn w:val="Normal"/>
    <w:next w:val="Normal"/>
    <w:uiPriority w:val="35"/>
    <w:unhideWhenUsed/>
    <w:qFormat/>
    <w:rsid w:val="00B932F6"/>
    <w:pPr>
      <w:spacing w:after="200" w:line="240" w:lineRule="auto"/>
    </w:pPr>
    <w:rPr>
      <w:b/>
      <w:bCs/>
      <w:color w:val="000000" w:themeColor="text1"/>
      <w:sz w:val="18"/>
      <w:szCs w:val="18"/>
    </w:rPr>
  </w:style>
  <w:style w:type="table" w:styleId="MediumGrid1-Accent1">
    <w:name w:val="Medium Grid 1 Accent 1"/>
    <w:basedOn w:val="TableNormal"/>
    <w:uiPriority w:val="67"/>
    <w:rsid w:val="00FD437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ableofFigures">
    <w:name w:val="table of figures"/>
    <w:basedOn w:val="Normal"/>
    <w:next w:val="Normal"/>
    <w:uiPriority w:val="99"/>
    <w:unhideWhenUsed/>
    <w:rsid w:val="00AD6FC6"/>
  </w:style>
  <w:style w:type="paragraph" w:styleId="Header">
    <w:name w:val="header"/>
    <w:basedOn w:val="Normal"/>
    <w:link w:val="HeaderChar"/>
    <w:uiPriority w:val="99"/>
    <w:unhideWhenUsed/>
    <w:rsid w:val="003166EA"/>
    <w:pPr>
      <w:tabs>
        <w:tab w:val="center" w:pos="4513"/>
        <w:tab w:val="right" w:pos="9026"/>
      </w:tabs>
      <w:spacing w:line="240" w:lineRule="auto"/>
    </w:pPr>
  </w:style>
  <w:style w:type="character" w:customStyle="1" w:styleId="HeaderChar">
    <w:name w:val="Header Char"/>
    <w:basedOn w:val="DefaultParagraphFont"/>
    <w:link w:val="Header"/>
    <w:uiPriority w:val="99"/>
    <w:rsid w:val="003166EA"/>
    <w:rPr>
      <w:rFonts w:ascii="Arial" w:hAnsi="Arial"/>
    </w:rPr>
  </w:style>
  <w:style w:type="paragraph" w:styleId="Footer">
    <w:name w:val="footer"/>
    <w:basedOn w:val="Normal"/>
    <w:link w:val="FooterChar"/>
    <w:uiPriority w:val="99"/>
    <w:unhideWhenUsed/>
    <w:rsid w:val="003166EA"/>
    <w:pPr>
      <w:tabs>
        <w:tab w:val="center" w:pos="4513"/>
        <w:tab w:val="right" w:pos="9026"/>
      </w:tabs>
      <w:spacing w:line="240" w:lineRule="auto"/>
    </w:pPr>
  </w:style>
  <w:style w:type="character" w:customStyle="1" w:styleId="FooterChar">
    <w:name w:val="Footer Char"/>
    <w:basedOn w:val="DefaultParagraphFont"/>
    <w:link w:val="Footer"/>
    <w:uiPriority w:val="99"/>
    <w:rsid w:val="003166EA"/>
    <w:rPr>
      <w:rFonts w:ascii="Arial" w:hAnsi="Arial"/>
    </w:rPr>
  </w:style>
  <w:style w:type="table" w:customStyle="1" w:styleId="MediumShading1-Accent11">
    <w:name w:val="Medium Shading 1 - Accent 11"/>
    <w:basedOn w:val="TableNormal"/>
    <w:next w:val="MediumShading1-Accent1"/>
    <w:uiPriority w:val="63"/>
    <w:rsid w:val="002B510B"/>
    <w:pPr>
      <w:spacing w:after="0" w:line="240" w:lineRule="auto"/>
    </w:pPr>
    <w:rPr>
      <w:rFonts w:ascii="Calibri" w:eastAsia="Calibri" w:hAnsi="Calibri" w:cs="Times New Roman"/>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OCHeading">
    <w:name w:val="TOC Heading"/>
    <w:basedOn w:val="Heading1"/>
    <w:next w:val="Normal"/>
    <w:uiPriority w:val="39"/>
    <w:unhideWhenUsed/>
    <w:qFormat/>
    <w:rsid w:val="000F2529"/>
    <w:pPr>
      <w:numPr>
        <w:numId w:val="0"/>
      </w:numPr>
      <w:spacing w:before="480" w:after="0"/>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0F2529"/>
    <w:pPr>
      <w:spacing w:after="100"/>
    </w:pPr>
  </w:style>
  <w:style w:type="paragraph" w:styleId="TOC2">
    <w:name w:val="toc 2"/>
    <w:basedOn w:val="Normal"/>
    <w:next w:val="Normal"/>
    <w:autoRedefine/>
    <w:uiPriority w:val="39"/>
    <w:unhideWhenUsed/>
    <w:rsid w:val="000F2529"/>
    <w:pPr>
      <w:spacing w:after="100"/>
      <w:ind w:left="220"/>
    </w:pPr>
  </w:style>
  <w:style w:type="paragraph" w:styleId="Revision">
    <w:name w:val="Revision"/>
    <w:hidden/>
    <w:uiPriority w:val="99"/>
    <w:semiHidden/>
    <w:rsid w:val="00684C19"/>
    <w:pPr>
      <w:spacing w:after="0" w:line="240" w:lineRule="auto"/>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664"/>
    <w:pPr>
      <w:spacing w:after="0"/>
    </w:pPr>
    <w:rPr>
      <w:rFonts w:ascii="Arial" w:hAnsi="Arial"/>
    </w:rPr>
  </w:style>
  <w:style w:type="paragraph" w:styleId="Heading1">
    <w:name w:val="heading 1"/>
    <w:basedOn w:val="Normal"/>
    <w:next w:val="Normal"/>
    <w:link w:val="Heading1Char"/>
    <w:uiPriority w:val="9"/>
    <w:qFormat/>
    <w:rsid w:val="00EE4664"/>
    <w:pPr>
      <w:keepNext/>
      <w:keepLines/>
      <w:numPr>
        <w:numId w:val="4"/>
      </w:numPr>
      <w:spacing w:after="12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D3727B"/>
    <w:pPr>
      <w:keepNext/>
      <w:keepLines/>
      <w:numPr>
        <w:ilvl w:val="1"/>
        <w:numId w:val="4"/>
      </w:numPr>
      <w:spacing w:before="200"/>
      <w:outlineLvl w:val="1"/>
    </w:pPr>
    <w:rPr>
      <w:rFonts w:eastAsiaTheme="majorEastAsia" w:cstheme="majorBidi"/>
      <w:b/>
      <w:bCs/>
      <w:color w:val="000000" w:themeColor="text1"/>
      <w:sz w:val="24"/>
      <w:szCs w:val="26"/>
    </w:rPr>
  </w:style>
  <w:style w:type="paragraph" w:styleId="Heading3">
    <w:name w:val="heading 3"/>
    <w:basedOn w:val="Normal"/>
    <w:next w:val="Normal"/>
    <w:link w:val="Heading3Char"/>
    <w:uiPriority w:val="9"/>
    <w:unhideWhenUsed/>
    <w:qFormat/>
    <w:rsid w:val="00CC5596"/>
    <w:pPr>
      <w:keepNext/>
      <w:keepLines/>
      <w:numPr>
        <w:ilvl w:val="2"/>
        <w:numId w:val="4"/>
      </w:numPr>
      <w:spacing w:before="200"/>
      <w:outlineLvl w:val="2"/>
    </w:pPr>
    <w:rPr>
      <w:rFonts w:eastAsiaTheme="majorEastAsia" w:cstheme="majorBidi"/>
      <w:b/>
      <w:bCs/>
      <w:sz w:val="24"/>
    </w:rPr>
  </w:style>
  <w:style w:type="paragraph" w:styleId="Heading4">
    <w:name w:val="heading 4"/>
    <w:basedOn w:val="Normal"/>
    <w:next w:val="Normal"/>
    <w:link w:val="Heading4Char"/>
    <w:uiPriority w:val="9"/>
    <w:semiHidden/>
    <w:unhideWhenUsed/>
    <w:qFormat/>
    <w:rsid w:val="00D3727B"/>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3727B"/>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3727B"/>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3727B"/>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3727B"/>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3727B"/>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6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664"/>
    <w:rPr>
      <w:rFonts w:ascii="Tahoma" w:hAnsi="Tahoma" w:cs="Tahoma"/>
      <w:sz w:val="16"/>
      <w:szCs w:val="16"/>
    </w:rPr>
  </w:style>
  <w:style w:type="character" w:customStyle="1" w:styleId="Heading1Char">
    <w:name w:val="Heading 1 Char"/>
    <w:basedOn w:val="DefaultParagraphFont"/>
    <w:link w:val="Heading1"/>
    <w:uiPriority w:val="9"/>
    <w:rsid w:val="00EE4664"/>
    <w:rPr>
      <w:rFonts w:ascii="Arial" w:eastAsiaTheme="majorEastAsia" w:hAnsi="Arial" w:cstheme="majorBidi"/>
      <w:b/>
      <w:bCs/>
      <w:color w:val="000000" w:themeColor="text1"/>
      <w:sz w:val="28"/>
      <w:szCs w:val="28"/>
    </w:rPr>
  </w:style>
  <w:style w:type="paragraph" w:styleId="ListParagraph">
    <w:name w:val="List Paragraph"/>
    <w:basedOn w:val="Normal"/>
    <w:uiPriority w:val="34"/>
    <w:qFormat/>
    <w:rsid w:val="00AC55F3"/>
    <w:pPr>
      <w:ind w:left="720"/>
      <w:contextualSpacing/>
    </w:pPr>
  </w:style>
  <w:style w:type="character" w:customStyle="1" w:styleId="Heading2Char">
    <w:name w:val="Heading 2 Char"/>
    <w:basedOn w:val="DefaultParagraphFont"/>
    <w:link w:val="Heading2"/>
    <w:uiPriority w:val="9"/>
    <w:rsid w:val="00D3727B"/>
    <w:rPr>
      <w:rFonts w:ascii="Arial" w:eastAsiaTheme="majorEastAsia" w:hAnsi="Arial" w:cstheme="majorBidi"/>
      <w:b/>
      <w:bCs/>
      <w:color w:val="000000" w:themeColor="text1"/>
      <w:sz w:val="24"/>
      <w:szCs w:val="26"/>
    </w:rPr>
  </w:style>
  <w:style w:type="character" w:customStyle="1" w:styleId="Heading3Char">
    <w:name w:val="Heading 3 Char"/>
    <w:basedOn w:val="DefaultParagraphFont"/>
    <w:link w:val="Heading3"/>
    <w:uiPriority w:val="9"/>
    <w:rsid w:val="00CC5596"/>
    <w:rPr>
      <w:rFonts w:ascii="Arial" w:eastAsiaTheme="majorEastAsia" w:hAnsi="Arial" w:cstheme="majorBidi"/>
      <w:b/>
      <w:bCs/>
      <w:sz w:val="24"/>
    </w:rPr>
  </w:style>
  <w:style w:type="character" w:customStyle="1" w:styleId="Heading4Char">
    <w:name w:val="Heading 4 Char"/>
    <w:basedOn w:val="DefaultParagraphFont"/>
    <w:link w:val="Heading4"/>
    <w:uiPriority w:val="9"/>
    <w:semiHidden/>
    <w:rsid w:val="00D372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372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372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372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372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3727B"/>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D3727B"/>
    <w:pPr>
      <w:spacing w:after="0" w:line="240" w:lineRule="auto"/>
    </w:pPr>
    <w:rPr>
      <w:rFonts w:ascii="Arial" w:hAnsi="Arial"/>
    </w:rPr>
  </w:style>
  <w:style w:type="table" w:styleId="TableGrid">
    <w:name w:val="Table Grid"/>
    <w:basedOn w:val="TableNormal"/>
    <w:uiPriority w:val="59"/>
    <w:rsid w:val="00824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719BB"/>
    <w:pPr>
      <w:spacing w:line="240" w:lineRule="auto"/>
    </w:pPr>
    <w:rPr>
      <w:sz w:val="20"/>
      <w:szCs w:val="20"/>
    </w:rPr>
  </w:style>
  <w:style w:type="character" w:customStyle="1" w:styleId="FootnoteTextChar">
    <w:name w:val="Footnote Text Char"/>
    <w:basedOn w:val="DefaultParagraphFont"/>
    <w:link w:val="FootnoteText"/>
    <w:uiPriority w:val="99"/>
    <w:semiHidden/>
    <w:rsid w:val="00E719BB"/>
    <w:rPr>
      <w:rFonts w:ascii="Arial" w:hAnsi="Arial"/>
      <w:sz w:val="20"/>
      <w:szCs w:val="20"/>
    </w:rPr>
  </w:style>
  <w:style w:type="character" w:styleId="FootnoteReference">
    <w:name w:val="footnote reference"/>
    <w:basedOn w:val="DefaultParagraphFont"/>
    <w:uiPriority w:val="99"/>
    <w:semiHidden/>
    <w:unhideWhenUsed/>
    <w:rsid w:val="00E719BB"/>
    <w:rPr>
      <w:vertAlign w:val="superscript"/>
    </w:rPr>
  </w:style>
  <w:style w:type="character" w:styleId="Hyperlink">
    <w:name w:val="Hyperlink"/>
    <w:basedOn w:val="DefaultParagraphFont"/>
    <w:uiPriority w:val="99"/>
    <w:unhideWhenUsed/>
    <w:rsid w:val="00D866BB"/>
    <w:rPr>
      <w:color w:val="0000FF" w:themeColor="hyperlink"/>
      <w:u w:val="single"/>
    </w:rPr>
  </w:style>
  <w:style w:type="table" w:customStyle="1" w:styleId="RFOTableFormat">
    <w:name w:val="RFO Table Format"/>
    <w:basedOn w:val="TableNormal"/>
    <w:uiPriority w:val="99"/>
    <w:qFormat/>
    <w:rsid w:val="0026086C"/>
    <w:pPr>
      <w:spacing w:after="0" w:line="240" w:lineRule="auto"/>
    </w:pPr>
    <w:rPr>
      <w:rFonts w:ascii="Arial" w:hAnsi="Arial"/>
      <w:sz w:val="20"/>
      <w:lang w:val="en-US"/>
    </w:rPr>
    <w:tblPr/>
    <w:tblStylePr w:type="firstRow">
      <w:rPr>
        <w:rFonts w:ascii="Arial" w:hAnsi="Arial"/>
        <w:b/>
        <w:sz w:val="20"/>
      </w:rPr>
      <w:tblPr/>
      <w:tcPr>
        <w:tcBorders>
          <w:top w:val="single" w:sz="4" w:space="0" w:color="auto"/>
          <w:bottom w:val="single" w:sz="4" w:space="0" w:color="auto"/>
        </w:tcBorders>
      </w:tcPr>
    </w:tblStylePr>
    <w:tblStylePr w:type="lastRow">
      <w:pPr>
        <w:jc w:val="center"/>
      </w:pPr>
      <w:rPr>
        <w:rFonts w:ascii="Arial" w:hAnsi="Arial"/>
        <w:b/>
        <w:color w:val="auto"/>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0000" w:themeFill="text1"/>
      </w:tcPr>
    </w:tblStylePr>
    <w:tblStylePr w:type="lastCol">
      <w:tblPr/>
      <w:tcPr>
        <w:tcBorders>
          <w:top w:val="nil"/>
          <w:left w:val="nil"/>
          <w:bottom w:val="nil"/>
          <w:right w:val="nil"/>
          <w:insideH w:val="nil"/>
          <w:insideV w:val="nil"/>
          <w:tl2br w:val="nil"/>
          <w:tr2bl w:val="nil"/>
        </w:tcBorders>
      </w:tcPr>
    </w:tblStylePr>
  </w:style>
  <w:style w:type="table" w:styleId="LightShading">
    <w:name w:val="Light Shading"/>
    <w:basedOn w:val="TableNormal"/>
    <w:uiPriority w:val="60"/>
    <w:rsid w:val="002E31E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Accent1">
    <w:name w:val="Medium Shading 1 Accent 1"/>
    <w:basedOn w:val="TableNormal"/>
    <w:uiPriority w:val="63"/>
    <w:rsid w:val="00CC559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617E4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Caption">
    <w:name w:val="caption"/>
    <w:basedOn w:val="Normal"/>
    <w:next w:val="Normal"/>
    <w:uiPriority w:val="35"/>
    <w:unhideWhenUsed/>
    <w:qFormat/>
    <w:rsid w:val="00B932F6"/>
    <w:pPr>
      <w:spacing w:after="200" w:line="240" w:lineRule="auto"/>
    </w:pPr>
    <w:rPr>
      <w:b/>
      <w:bCs/>
      <w:color w:val="000000" w:themeColor="text1"/>
      <w:sz w:val="18"/>
      <w:szCs w:val="18"/>
    </w:rPr>
  </w:style>
  <w:style w:type="table" w:styleId="MediumGrid1-Accent1">
    <w:name w:val="Medium Grid 1 Accent 1"/>
    <w:basedOn w:val="TableNormal"/>
    <w:uiPriority w:val="67"/>
    <w:rsid w:val="00FD437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ableofFigures">
    <w:name w:val="table of figures"/>
    <w:basedOn w:val="Normal"/>
    <w:next w:val="Normal"/>
    <w:uiPriority w:val="99"/>
    <w:unhideWhenUsed/>
    <w:rsid w:val="00AD6FC6"/>
  </w:style>
  <w:style w:type="paragraph" w:styleId="Header">
    <w:name w:val="header"/>
    <w:basedOn w:val="Normal"/>
    <w:link w:val="HeaderChar"/>
    <w:uiPriority w:val="99"/>
    <w:unhideWhenUsed/>
    <w:rsid w:val="003166EA"/>
    <w:pPr>
      <w:tabs>
        <w:tab w:val="center" w:pos="4513"/>
        <w:tab w:val="right" w:pos="9026"/>
      </w:tabs>
      <w:spacing w:line="240" w:lineRule="auto"/>
    </w:pPr>
  </w:style>
  <w:style w:type="character" w:customStyle="1" w:styleId="HeaderChar">
    <w:name w:val="Header Char"/>
    <w:basedOn w:val="DefaultParagraphFont"/>
    <w:link w:val="Header"/>
    <w:uiPriority w:val="99"/>
    <w:rsid w:val="003166EA"/>
    <w:rPr>
      <w:rFonts w:ascii="Arial" w:hAnsi="Arial"/>
    </w:rPr>
  </w:style>
  <w:style w:type="paragraph" w:styleId="Footer">
    <w:name w:val="footer"/>
    <w:basedOn w:val="Normal"/>
    <w:link w:val="FooterChar"/>
    <w:uiPriority w:val="99"/>
    <w:unhideWhenUsed/>
    <w:rsid w:val="003166EA"/>
    <w:pPr>
      <w:tabs>
        <w:tab w:val="center" w:pos="4513"/>
        <w:tab w:val="right" w:pos="9026"/>
      </w:tabs>
      <w:spacing w:line="240" w:lineRule="auto"/>
    </w:pPr>
  </w:style>
  <w:style w:type="character" w:customStyle="1" w:styleId="FooterChar">
    <w:name w:val="Footer Char"/>
    <w:basedOn w:val="DefaultParagraphFont"/>
    <w:link w:val="Footer"/>
    <w:uiPriority w:val="99"/>
    <w:rsid w:val="003166EA"/>
    <w:rPr>
      <w:rFonts w:ascii="Arial" w:hAnsi="Arial"/>
    </w:rPr>
  </w:style>
  <w:style w:type="table" w:customStyle="1" w:styleId="MediumShading1-Accent11">
    <w:name w:val="Medium Shading 1 - Accent 11"/>
    <w:basedOn w:val="TableNormal"/>
    <w:next w:val="MediumShading1-Accent1"/>
    <w:uiPriority w:val="63"/>
    <w:rsid w:val="002B510B"/>
    <w:pPr>
      <w:spacing w:after="0" w:line="240" w:lineRule="auto"/>
    </w:pPr>
    <w:rPr>
      <w:rFonts w:ascii="Calibri" w:eastAsia="Calibri" w:hAnsi="Calibri" w:cs="Times New Roman"/>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OCHeading">
    <w:name w:val="TOC Heading"/>
    <w:basedOn w:val="Heading1"/>
    <w:next w:val="Normal"/>
    <w:uiPriority w:val="39"/>
    <w:unhideWhenUsed/>
    <w:qFormat/>
    <w:rsid w:val="000F2529"/>
    <w:pPr>
      <w:numPr>
        <w:numId w:val="0"/>
      </w:numPr>
      <w:spacing w:before="480" w:after="0"/>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0F2529"/>
    <w:pPr>
      <w:spacing w:after="100"/>
    </w:pPr>
  </w:style>
  <w:style w:type="paragraph" w:styleId="TOC2">
    <w:name w:val="toc 2"/>
    <w:basedOn w:val="Normal"/>
    <w:next w:val="Normal"/>
    <w:autoRedefine/>
    <w:uiPriority w:val="39"/>
    <w:unhideWhenUsed/>
    <w:rsid w:val="000F2529"/>
    <w:pPr>
      <w:spacing w:after="100"/>
      <w:ind w:left="220"/>
    </w:pPr>
  </w:style>
  <w:style w:type="paragraph" w:styleId="Revision">
    <w:name w:val="Revision"/>
    <w:hidden/>
    <w:uiPriority w:val="99"/>
    <w:semiHidden/>
    <w:rsid w:val="00684C1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66757">
      <w:bodyDiv w:val="1"/>
      <w:marLeft w:val="0"/>
      <w:marRight w:val="0"/>
      <w:marTop w:val="0"/>
      <w:marBottom w:val="0"/>
      <w:divBdr>
        <w:top w:val="none" w:sz="0" w:space="0" w:color="auto"/>
        <w:left w:val="none" w:sz="0" w:space="0" w:color="auto"/>
        <w:bottom w:val="none" w:sz="0" w:space="0" w:color="auto"/>
        <w:right w:val="none" w:sz="0" w:space="0" w:color="auto"/>
      </w:divBdr>
    </w:div>
    <w:div w:id="92214168">
      <w:bodyDiv w:val="1"/>
      <w:marLeft w:val="0"/>
      <w:marRight w:val="0"/>
      <w:marTop w:val="0"/>
      <w:marBottom w:val="0"/>
      <w:divBdr>
        <w:top w:val="none" w:sz="0" w:space="0" w:color="auto"/>
        <w:left w:val="none" w:sz="0" w:space="0" w:color="auto"/>
        <w:bottom w:val="none" w:sz="0" w:space="0" w:color="auto"/>
        <w:right w:val="none" w:sz="0" w:space="0" w:color="auto"/>
      </w:divBdr>
    </w:div>
    <w:div w:id="98573798">
      <w:bodyDiv w:val="1"/>
      <w:marLeft w:val="0"/>
      <w:marRight w:val="0"/>
      <w:marTop w:val="0"/>
      <w:marBottom w:val="0"/>
      <w:divBdr>
        <w:top w:val="none" w:sz="0" w:space="0" w:color="auto"/>
        <w:left w:val="none" w:sz="0" w:space="0" w:color="auto"/>
        <w:bottom w:val="none" w:sz="0" w:space="0" w:color="auto"/>
        <w:right w:val="none" w:sz="0" w:space="0" w:color="auto"/>
      </w:divBdr>
    </w:div>
    <w:div w:id="163789414">
      <w:bodyDiv w:val="1"/>
      <w:marLeft w:val="0"/>
      <w:marRight w:val="0"/>
      <w:marTop w:val="0"/>
      <w:marBottom w:val="0"/>
      <w:divBdr>
        <w:top w:val="none" w:sz="0" w:space="0" w:color="auto"/>
        <w:left w:val="none" w:sz="0" w:space="0" w:color="auto"/>
        <w:bottom w:val="none" w:sz="0" w:space="0" w:color="auto"/>
        <w:right w:val="none" w:sz="0" w:space="0" w:color="auto"/>
      </w:divBdr>
    </w:div>
    <w:div w:id="244533285">
      <w:bodyDiv w:val="1"/>
      <w:marLeft w:val="0"/>
      <w:marRight w:val="0"/>
      <w:marTop w:val="0"/>
      <w:marBottom w:val="0"/>
      <w:divBdr>
        <w:top w:val="none" w:sz="0" w:space="0" w:color="auto"/>
        <w:left w:val="none" w:sz="0" w:space="0" w:color="auto"/>
        <w:bottom w:val="none" w:sz="0" w:space="0" w:color="auto"/>
        <w:right w:val="none" w:sz="0" w:space="0" w:color="auto"/>
      </w:divBdr>
    </w:div>
    <w:div w:id="273631142">
      <w:bodyDiv w:val="1"/>
      <w:marLeft w:val="0"/>
      <w:marRight w:val="0"/>
      <w:marTop w:val="0"/>
      <w:marBottom w:val="0"/>
      <w:divBdr>
        <w:top w:val="none" w:sz="0" w:space="0" w:color="auto"/>
        <w:left w:val="none" w:sz="0" w:space="0" w:color="auto"/>
        <w:bottom w:val="none" w:sz="0" w:space="0" w:color="auto"/>
        <w:right w:val="none" w:sz="0" w:space="0" w:color="auto"/>
      </w:divBdr>
    </w:div>
    <w:div w:id="281617447">
      <w:bodyDiv w:val="1"/>
      <w:marLeft w:val="0"/>
      <w:marRight w:val="0"/>
      <w:marTop w:val="0"/>
      <w:marBottom w:val="0"/>
      <w:divBdr>
        <w:top w:val="none" w:sz="0" w:space="0" w:color="auto"/>
        <w:left w:val="none" w:sz="0" w:space="0" w:color="auto"/>
        <w:bottom w:val="none" w:sz="0" w:space="0" w:color="auto"/>
        <w:right w:val="none" w:sz="0" w:space="0" w:color="auto"/>
      </w:divBdr>
    </w:div>
    <w:div w:id="317347144">
      <w:bodyDiv w:val="1"/>
      <w:marLeft w:val="0"/>
      <w:marRight w:val="0"/>
      <w:marTop w:val="0"/>
      <w:marBottom w:val="0"/>
      <w:divBdr>
        <w:top w:val="none" w:sz="0" w:space="0" w:color="auto"/>
        <w:left w:val="none" w:sz="0" w:space="0" w:color="auto"/>
        <w:bottom w:val="none" w:sz="0" w:space="0" w:color="auto"/>
        <w:right w:val="none" w:sz="0" w:space="0" w:color="auto"/>
      </w:divBdr>
    </w:div>
    <w:div w:id="325982323">
      <w:bodyDiv w:val="1"/>
      <w:marLeft w:val="0"/>
      <w:marRight w:val="0"/>
      <w:marTop w:val="0"/>
      <w:marBottom w:val="0"/>
      <w:divBdr>
        <w:top w:val="none" w:sz="0" w:space="0" w:color="auto"/>
        <w:left w:val="none" w:sz="0" w:space="0" w:color="auto"/>
        <w:bottom w:val="none" w:sz="0" w:space="0" w:color="auto"/>
        <w:right w:val="none" w:sz="0" w:space="0" w:color="auto"/>
      </w:divBdr>
    </w:div>
    <w:div w:id="387144778">
      <w:bodyDiv w:val="1"/>
      <w:marLeft w:val="0"/>
      <w:marRight w:val="0"/>
      <w:marTop w:val="0"/>
      <w:marBottom w:val="0"/>
      <w:divBdr>
        <w:top w:val="none" w:sz="0" w:space="0" w:color="auto"/>
        <w:left w:val="none" w:sz="0" w:space="0" w:color="auto"/>
        <w:bottom w:val="none" w:sz="0" w:space="0" w:color="auto"/>
        <w:right w:val="none" w:sz="0" w:space="0" w:color="auto"/>
      </w:divBdr>
    </w:div>
    <w:div w:id="431509781">
      <w:bodyDiv w:val="1"/>
      <w:marLeft w:val="0"/>
      <w:marRight w:val="0"/>
      <w:marTop w:val="0"/>
      <w:marBottom w:val="0"/>
      <w:divBdr>
        <w:top w:val="none" w:sz="0" w:space="0" w:color="auto"/>
        <w:left w:val="none" w:sz="0" w:space="0" w:color="auto"/>
        <w:bottom w:val="none" w:sz="0" w:space="0" w:color="auto"/>
        <w:right w:val="none" w:sz="0" w:space="0" w:color="auto"/>
      </w:divBdr>
    </w:div>
    <w:div w:id="445347389">
      <w:bodyDiv w:val="1"/>
      <w:marLeft w:val="0"/>
      <w:marRight w:val="0"/>
      <w:marTop w:val="0"/>
      <w:marBottom w:val="0"/>
      <w:divBdr>
        <w:top w:val="none" w:sz="0" w:space="0" w:color="auto"/>
        <w:left w:val="none" w:sz="0" w:space="0" w:color="auto"/>
        <w:bottom w:val="none" w:sz="0" w:space="0" w:color="auto"/>
        <w:right w:val="none" w:sz="0" w:space="0" w:color="auto"/>
      </w:divBdr>
    </w:div>
    <w:div w:id="466320775">
      <w:bodyDiv w:val="1"/>
      <w:marLeft w:val="0"/>
      <w:marRight w:val="0"/>
      <w:marTop w:val="0"/>
      <w:marBottom w:val="0"/>
      <w:divBdr>
        <w:top w:val="none" w:sz="0" w:space="0" w:color="auto"/>
        <w:left w:val="none" w:sz="0" w:space="0" w:color="auto"/>
        <w:bottom w:val="none" w:sz="0" w:space="0" w:color="auto"/>
        <w:right w:val="none" w:sz="0" w:space="0" w:color="auto"/>
      </w:divBdr>
    </w:div>
    <w:div w:id="478378009">
      <w:bodyDiv w:val="1"/>
      <w:marLeft w:val="0"/>
      <w:marRight w:val="0"/>
      <w:marTop w:val="0"/>
      <w:marBottom w:val="0"/>
      <w:divBdr>
        <w:top w:val="none" w:sz="0" w:space="0" w:color="auto"/>
        <w:left w:val="none" w:sz="0" w:space="0" w:color="auto"/>
        <w:bottom w:val="none" w:sz="0" w:space="0" w:color="auto"/>
        <w:right w:val="none" w:sz="0" w:space="0" w:color="auto"/>
      </w:divBdr>
    </w:div>
    <w:div w:id="546062576">
      <w:bodyDiv w:val="1"/>
      <w:marLeft w:val="0"/>
      <w:marRight w:val="0"/>
      <w:marTop w:val="0"/>
      <w:marBottom w:val="0"/>
      <w:divBdr>
        <w:top w:val="none" w:sz="0" w:space="0" w:color="auto"/>
        <w:left w:val="none" w:sz="0" w:space="0" w:color="auto"/>
        <w:bottom w:val="none" w:sz="0" w:space="0" w:color="auto"/>
        <w:right w:val="none" w:sz="0" w:space="0" w:color="auto"/>
      </w:divBdr>
    </w:div>
    <w:div w:id="585581263">
      <w:bodyDiv w:val="1"/>
      <w:marLeft w:val="0"/>
      <w:marRight w:val="0"/>
      <w:marTop w:val="0"/>
      <w:marBottom w:val="0"/>
      <w:divBdr>
        <w:top w:val="none" w:sz="0" w:space="0" w:color="auto"/>
        <w:left w:val="none" w:sz="0" w:space="0" w:color="auto"/>
        <w:bottom w:val="none" w:sz="0" w:space="0" w:color="auto"/>
        <w:right w:val="none" w:sz="0" w:space="0" w:color="auto"/>
      </w:divBdr>
    </w:div>
    <w:div w:id="604923415">
      <w:bodyDiv w:val="1"/>
      <w:marLeft w:val="0"/>
      <w:marRight w:val="0"/>
      <w:marTop w:val="0"/>
      <w:marBottom w:val="0"/>
      <w:divBdr>
        <w:top w:val="none" w:sz="0" w:space="0" w:color="auto"/>
        <w:left w:val="none" w:sz="0" w:space="0" w:color="auto"/>
        <w:bottom w:val="none" w:sz="0" w:space="0" w:color="auto"/>
        <w:right w:val="none" w:sz="0" w:space="0" w:color="auto"/>
      </w:divBdr>
    </w:div>
    <w:div w:id="684014209">
      <w:bodyDiv w:val="1"/>
      <w:marLeft w:val="0"/>
      <w:marRight w:val="0"/>
      <w:marTop w:val="0"/>
      <w:marBottom w:val="0"/>
      <w:divBdr>
        <w:top w:val="none" w:sz="0" w:space="0" w:color="auto"/>
        <w:left w:val="none" w:sz="0" w:space="0" w:color="auto"/>
        <w:bottom w:val="none" w:sz="0" w:space="0" w:color="auto"/>
        <w:right w:val="none" w:sz="0" w:space="0" w:color="auto"/>
      </w:divBdr>
    </w:div>
    <w:div w:id="694304545">
      <w:bodyDiv w:val="1"/>
      <w:marLeft w:val="0"/>
      <w:marRight w:val="0"/>
      <w:marTop w:val="0"/>
      <w:marBottom w:val="0"/>
      <w:divBdr>
        <w:top w:val="none" w:sz="0" w:space="0" w:color="auto"/>
        <w:left w:val="none" w:sz="0" w:space="0" w:color="auto"/>
        <w:bottom w:val="none" w:sz="0" w:space="0" w:color="auto"/>
        <w:right w:val="none" w:sz="0" w:space="0" w:color="auto"/>
      </w:divBdr>
    </w:div>
    <w:div w:id="733042247">
      <w:bodyDiv w:val="1"/>
      <w:marLeft w:val="0"/>
      <w:marRight w:val="0"/>
      <w:marTop w:val="0"/>
      <w:marBottom w:val="0"/>
      <w:divBdr>
        <w:top w:val="none" w:sz="0" w:space="0" w:color="auto"/>
        <w:left w:val="none" w:sz="0" w:space="0" w:color="auto"/>
        <w:bottom w:val="none" w:sz="0" w:space="0" w:color="auto"/>
        <w:right w:val="none" w:sz="0" w:space="0" w:color="auto"/>
      </w:divBdr>
    </w:div>
    <w:div w:id="809521628">
      <w:bodyDiv w:val="1"/>
      <w:marLeft w:val="0"/>
      <w:marRight w:val="0"/>
      <w:marTop w:val="0"/>
      <w:marBottom w:val="0"/>
      <w:divBdr>
        <w:top w:val="none" w:sz="0" w:space="0" w:color="auto"/>
        <w:left w:val="none" w:sz="0" w:space="0" w:color="auto"/>
        <w:bottom w:val="none" w:sz="0" w:space="0" w:color="auto"/>
        <w:right w:val="none" w:sz="0" w:space="0" w:color="auto"/>
      </w:divBdr>
    </w:div>
    <w:div w:id="843208233">
      <w:bodyDiv w:val="1"/>
      <w:marLeft w:val="0"/>
      <w:marRight w:val="0"/>
      <w:marTop w:val="0"/>
      <w:marBottom w:val="0"/>
      <w:divBdr>
        <w:top w:val="none" w:sz="0" w:space="0" w:color="auto"/>
        <w:left w:val="none" w:sz="0" w:space="0" w:color="auto"/>
        <w:bottom w:val="none" w:sz="0" w:space="0" w:color="auto"/>
        <w:right w:val="none" w:sz="0" w:space="0" w:color="auto"/>
      </w:divBdr>
    </w:div>
    <w:div w:id="854615744">
      <w:bodyDiv w:val="1"/>
      <w:marLeft w:val="0"/>
      <w:marRight w:val="0"/>
      <w:marTop w:val="0"/>
      <w:marBottom w:val="0"/>
      <w:divBdr>
        <w:top w:val="none" w:sz="0" w:space="0" w:color="auto"/>
        <w:left w:val="none" w:sz="0" w:space="0" w:color="auto"/>
        <w:bottom w:val="none" w:sz="0" w:space="0" w:color="auto"/>
        <w:right w:val="none" w:sz="0" w:space="0" w:color="auto"/>
      </w:divBdr>
    </w:div>
    <w:div w:id="880166714">
      <w:bodyDiv w:val="1"/>
      <w:marLeft w:val="0"/>
      <w:marRight w:val="0"/>
      <w:marTop w:val="0"/>
      <w:marBottom w:val="0"/>
      <w:divBdr>
        <w:top w:val="none" w:sz="0" w:space="0" w:color="auto"/>
        <w:left w:val="none" w:sz="0" w:space="0" w:color="auto"/>
        <w:bottom w:val="none" w:sz="0" w:space="0" w:color="auto"/>
        <w:right w:val="none" w:sz="0" w:space="0" w:color="auto"/>
      </w:divBdr>
    </w:div>
    <w:div w:id="917522164">
      <w:bodyDiv w:val="1"/>
      <w:marLeft w:val="0"/>
      <w:marRight w:val="0"/>
      <w:marTop w:val="0"/>
      <w:marBottom w:val="0"/>
      <w:divBdr>
        <w:top w:val="none" w:sz="0" w:space="0" w:color="auto"/>
        <w:left w:val="none" w:sz="0" w:space="0" w:color="auto"/>
        <w:bottom w:val="none" w:sz="0" w:space="0" w:color="auto"/>
        <w:right w:val="none" w:sz="0" w:space="0" w:color="auto"/>
      </w:divBdr>
    </w:div>
    <w:div w:id="955140704">
      <w:bodyDiv w:val="1"/>
      <w:marLeft w:val="0"/>
      <w:marRight w:val="0"/>
      <w:marTop w:val="0"/>
      <w:marBottom w:val="0"/>
      <w:divBdr>
        <w:top w:val="none" w:sz="0" w:space="0" w:color="auto"/>
        <w:left w:val="none" w:sz="0" w:space="0" w:color="auto"/>
        <w:bottom w:val="none" w:sz="0" w:space="0" w:color="auto"/>
        <w:right w:val="none" w:sz="0" w:space="0" w:color="auto"/>
      </w:divBdr>
    </w:div>
    <w:div w:id="978270748">
      <w:bodyDiv w:val="1"/>
      <w:marLeft w:val="0"/>
      <w:marRight w:val="0"/>
      <w:marTop w:val="0"/>
      <w:marBottom w:val="0"/>
      <w:divBdr>
        <w:top w:val="none" w:sz="0" w:space="0" w:color="auto"/>
        <w:left w:val="none" w:sz="0" w:space="0" w:color="auto"/>
        <w:bottom w:val="none" w:sz="0" w:space="0" w:color="auto"/>
        <w:right w:val="none" w:sz="0" w:space="0" w:color="auto"/>
      </w:divBdr>
    </w:div>
    <w:div w:id="1004555679">
      <w:bodyDiv w:val="1"/>
      <w:marLeft w:val="0"/>
      <w:marRight w:val="0"/>
      <w:marTop w:val="0"/>
      <w:marBottom w:val="0"/>
      <w:divBdr>
        <w:top w:val="none" w:sz="0" w:space="0" w:color="auto"/>
        <w:left w:val="none" w:sz="0" w:space="0" w:color="auto"/>
        <w:bottom w:val="none" w:sz="0" w:space="0" w:color="auto"/>
        <w:right w:val="none" w:sz="0" w:space="0" w:color="auto"/>
      </w:divBdr>
    </w:div>
    <w:div w:id="1005978422">
      <w:bodyDiv w:val="1"/>
      <w:marLeft w:val="0"/>
      <w:marRight w:val="0"/>
      <w:marTop w:val="0"/>
      <w:marBottom w:val="0"/>
      <w:divBdr>
        <w:top w:val="none" w:sz="0" w:space="0" w:color="auto"/>
        <w:left w:val="none" w:sz="0" w:space="0" w:color="auto"/>
        <w:bottom w:val="none" w:sz="0" w:space="0" w:color="auto"/>
        <w:right w:val="none" w:sz="0" w:space="0" w:color="auto"/>
      </w:divBdr>
    </w:div>
    <w:div w:id="1088888260">
      <w:bodyDiv w:val="1"/>
      <w:marLeft w:val="0"/>
      <w:marRight w:val="0"/>
      <w:marTop w:val="0"/>
      <w:marBottom w:val="0"/>
      <w:divBdr>
        <w:top w:val="none" w:sz="0" w:space="0" w:color="auto"/>
        <w:left w:val="none" w:sz="0" w:space="0" w:color="auto"/>
        <w:bottom w:val="none" w:sz="0" w:space="0" w:color="auto"/>
        <w:right w:val="none" w:sz="0" w:space="0" w:color="auto"/>
      </w:divBdr>
    </w:div>
    <w:div w:id="1106341563">
      <w:bodyDiv w:val="1"/>
      <w:marLeft w:val="0"/>
      <w:marRight w:val="0"/>
      <w:marTop w:val="0"/>
      <w:marBottom w:val="0"/>
      <w:divBdr>
        <w:top w:val="none" w:sz="0" w:space="0" w:color="auto"/>
        <w:left w:val="none" w:sz="0" w:space="0" w:color="auto"/>
        <w:bottom w:val="none" w:sz="0" w:space="0" w:color="auto"/>
        <w:right w:val="none" w:sz="0" w:space="0" w:color="auto"/>
      </w:divBdr>
    </w:div>
    <w:div w:id="1183738693">
      <w:bodyDiv w:val="1"/>
      <w:marLeft w:val="0"/>
      <w:marRight w:val="0"/>
      <w:marTop w:val="0"/>
      <w:marBottom w:val="0"/>
      <w:divBdr>
        <w:top w:val="none" w:sz="0" w:space="0" w:color="auto"/>
        <w:left w:val="none" w:sz="0" w:space="0" w:color="auto"/>
        <w:bottom w:val="none" w:sz="0" w:space="0" w:color="auto"/>
        <w:right w:val="none" w:sz="0" w:space="0" w:color="auto"/>
      </w:divBdr>
    </w:div>
    <w:div w:id="1253051214">
      <w:bodyDiv w:val="1"/>
      <w:marLeft w:val="0"/>
      <w:marRight w:val="0"/>
      <w:marTop w:val="0"/>
      <w:marBottom w:val="0"/>
      <w:divBdr>
        <w:top w:val="none" w:sz="0" w:space="0" w:color="auto"/>
        <w:left w:val="none" w:sz="0" w:space="0" w:color="auto"/>
        <w:bottom w:val="none" w:sz="0" w:space="0" w:color="auto"/>
        <w:right w:val="none" w:sz="0" w:space="0" w:color="auto"/>
      </w:divBdr>
    </w:div>
    <w:div w:id="1258827794">
      <w:bodyDiv w:val="1"/>
      <w:marLeft w:val="0"/>
      <w:marRight w:val="0"/>
      <w:marTop w:val="0"/>
      <w:marBottom w:val="0"/>
      <w:divBdr>
        <w:top w:val="none" w:sz="0" w:space="0" w:color="auto"/>
        <w:left w:val="none" w:sz="0" w:space="0" w:color="auto"/>
        <w:bottom w:val="none" w:sz="0" w:space="0" w:color="auto"/>
        <w:right w:val="none" w:sz="0" w:space="0" w:color="auto"/>
      </w:divBdr>
    </w:div>
    <w:div w:id="1358192042">
      <w:bodyDiv w:val="1"/>
      <w:marLeft w:val="0"/>
      <w:marRight w:val="0"/>
      <w:marTop w:val="0"/>
      <w:marBottom w:val="0"/>
      <w:divBdr>
        <w:top w:val="none" w:sz="0" w:space="0" w:color="auto"/>
        <w:left w:val="none" w:sz="0" w:space="0" w:color="auto"/>
        <w:bottom w:val="none" w:sz="0" w:space="0" w:color="auto"/>
        <w:right w:val="none" w:sz="0" w:space="0" w:color="auto"/>
      </w:divBdr>
    </w:div>
    <w:div w:id="1423793842">
      <w:bodyDiv w:val="1"/>
      <w:marLeft w:val="0"/>
      <w:marRight w:val="0"/>
      <w:marTop w:val="0"/>
      <w:marBottom w:val="0"/>
      <w:divBdr>
        <w:top w:val="none" w:sz="0" w:space="0" w:color="auto"/>
        <w:left w:val="none" w:sz="0" w:space="0" w:color="auto"/>
        <w:bottom w:val="none" w:sz="0" w:space="0" w:color="auto"/>
        <w:right w:val="none" w:sz="0" w:space="0" w:color="auto"/>
      </w:divBdr>
    </w:div>
    <w:div w:id="1429084600">
      <w:bodyDiv w:val="1"/>
      <w:marLeft w:val="0"/>
      <w:marRight w:val="0"/>
      <w:marTop w:val="0"/>
      <w:marBottom w:val="0"/>
      <w:divBdr>
        <w:top w:val="none" w:sz="0" w:space="0" w:color="auto"/>
        <w:left w:val="none" w:sz="0" w:space="0" w:color="auto"/>
        <w:bottom w:val="none" w:sz="0" w:space="0" w:color="auto"/>
        <w:right w:val="none" w:sz="0" w:space="0" w:color="auto"/>
      </w:divBdr>
    </w:div>
    <w:div w:id="1469393271">
      <w:bodyDiv w:val="1"/>
      <w:marLeft w:val="0"/>
      <w:marRight w:val="0"/>
      <w:marTop w:val="0"/>
      <w:marBottom w:val="0"/>
      <w:divBdr>
        <w:top w:val="none" w:sz="0" w:space="0" w:color="auto"/>
        <w:left w:val="none" w:sz="0" w:space="0" w:color="auto"/>
        <w:bottom w:val="none" w:sz="0" w:space="0" w:color="auto"/>
        <w:right w:val="none" w:sz="0" w:space="0" w:color="auto"/>
      </w:divBdr>
    </w:div>
    <w:div w:id="1488012512">
      <w:bodyDiv w:val="1"/>
      <w:marLeft w:val="0"/>
      <w:marRight w:val="0"/>
      <w:marTop w:val="0"/>
      <w:marBottom w:val="0"/>
      <w:divBdr>
        <w:top w:val="none" w:sz="0" w:space="0" w:color="auto"/>
        <w:left w:val="none" w:sz="0" w:space="0" w:color="auto"/>
        <w:bottom w:val="none" w:sz="0" w:space="0" w:color="auto"/>
        <w:right w:val="none" w:sz="0" w:space="0" w:color="auto"/>
      </w:divBdr>
    </w:div>
    <w:div w:id="1499226402">
      <w:bodyDiv w:val="1"/>
      <w:marLeft w:val="0"/>
      <w:marRight w:val="0"/>
      <w:marTop w:val="0"/>
      <w:marBottom w:val="0"/>
      <w:divBdr>
        <w:top w:val="none" w:sz="0" w:space="0" w:color="auto"/>
        <w:left w:val="none" w:sz="0" w:space="0" w:color="auto"/>
        <w:bottom w:val="none" w:sz="0" w:space="0" w:color="auto"/>
        <w:right w:val="none" w:sz="0" w:space="0" w:color="auto"/>
      </w:divBdr>
    </w:div>
    <w:div w:id="1537962190">
      <w:bodyDiv w:val="1"/>
      <w:marLeft w:val="0"/>
      <w:marRight w:val="0"/>
      <w:marTop w:val="0"/>
      <w:marBottom w:val="0"/>
      <w:divBdr>
        <w:top w:val="none" w:sz="0" w:space="0" w:color="auto"/>
        <w:left w:val="none" w:sz="0" w:space="0" w:color="auto"/>
        <w:bottom w:val="none" w:sz="0" w:space="0" w:color="auto"/>
        <w:right w:val="none" w:sz="0" w:space="0" w:color="auto"/>
      </w:divBdr>
    </w:div>
    <w:div w:id="1580797050">
      <w:bodyDiv w:val="1"/>
      <w:marLeft w:val="0"/>
      <w:marRight w:val="0"/>
      <w:marTop w:val="0"/>
      <w:marBottom w:val="0"/>
      <w:divBdr>
        <w:top w:val="none" w:sz="0" w:space="0" w:color="auto"/>
        <w:left w:val="none" w:sz="0" w:space="0" w:color="auto"/>
        <w:bottom w:val="none" w:sz="0" w:space="0" w:color="auto"/>
        <w:right w:val="none" w:sz="0" w:space="0" w:color="auto"/>
      </w:divBdr>
    </w:div>
    <w:div w:id="1621955281">
      <w:bodyDiv w:val="1"/>
      <w:marLeft w:val="0"/>
      <w:marRight w:val="0"/>
      <w:marTop w:val="0"/>
      <w:marBottom w:val="0"/>
      <w:divBdr>
        <w:top w:val="none" w:sz="0" w:space="0" w:color="auto"/>
        <w:left w:val="none" w:sz="0" w:space="0" w:color="auto"/>
        <w:bottom w:val="none" w:sz="0" w:space="0" w:color="auto"/>
        <w:right w:val="none" w:sz="0" w:space="0" w:color="auto"/>
      </w:divBdr>
    </w:div>
    <w:div w:id="1654405779">
      <w:bodyDiv w:val="1"/>
      <w:marLeft w:val="0"/>
      <w:marRight w:val="0"/>
      <w:marTop w:val="0"/>
      <w:marBottom w:val="0"/>
      <w:divBdr>
        <w:top w:val="none" w:sz="0" w:space="0" w:color="auto"/>
        <w:left w:val="none" w:sz="0" w:space="0" w:color="auto"/>
        <w:bottom w:val="none" w:sz="0" w:space="0" w:color="auto"/>
        <w:right w:val="none" w:sz="0" w:space="0" w:color="auto"/>
      </w:divBdr>
    </w:div>
    <w:div w:id="1655795447">
      <w:bodyDiv w:val="1"/>
      <w:marLeft w:val="0"/>
      <w:marRight w:val="0"/>
      <w:marTop w:val="0"/>
      <w:marBottom w:val="0"/>
      <w:divBdr>
        <w:top w:val="none" w:sz="0" w:space="0" w:color="auto"/>
        <w:left w:val="none" w:sz="0" w:space="0" w:color="auto"/>
        <w:bottom w:val="none" w:sz="0" w:space="0" w:color="auto"/>
        <w:right w:val="none" w:sz="0" w:space="0" w:color="auto"/>
      </w:divBdr>
    </w:div>
    <w:div w:id="1665401288">
      <w:bodyDiv w:val="1"/>
      <w:marLeft w:val="0"/>
      <w:marRight w:val="0"/>
      <w:marTop w:val="0"/>
      <w:marBottom w:val="0"/>
      <w:divBdr>
        <w:top w:val="none" w:sz="0" w:space="0" w:color="auto"/>
        <w:left w:val="none" w:sz="0" w:space="0" w:color="auto"/>
        <w:bottom w:val="none" w:sz="0" w:space="0" w:color="auto"/>
        <w:right w:val="none" w:sz="0" w:space="0" w:color="auto"/>
      </w:divBdr>
    </w:div>
    <w:div w:id="1678193651">
      <w:bodyDiv w:val="1"/>
      <w:marLeft w:val="0"/>
      <w:marRight w:val="0"/>
      <w:marTop w:val="0"/>
      <w:marBottom w:val="0"/>
      <w:divBdr>
        <w:top w:val="none" w:sz="0" w:space="0" w:color="auto"/>
        <w:left w:val="none" w:sz="0" w:space="0" w:color="auto"/>
        <w:bottom w:val="none" w:sz="0" w:space="0" w:color="auto"/>
        <w:right w:val="none" w:sz="0" w:space="0" w:color="auto"/>
      </w:divBdr>
    </w:div>
    <w:div w:id="1705522336">
      <w:bodyDiv w:val="1"/>
      <w:marLeft w:val="0"/>
      <w:marRight w:val="0"/>
      <w:marTop w:val="0"/>
      <w:marBottom w:val="0"/>
      <w:divBdr>
        <w:top w:val="none" w:sz="0" w:space="0" w:color="auto"/>
        <w:left w:val="none" w:sz="0" w:space="0" w:color="auto"/>
        <w:bottom w:val="none" w:sz="0" w:space="0" w:color="auto"/>
        <w:right w:val="none" w:sz="0" w:space="0" w:color="auto"/>
      </w:divBdr>
    </w:div>
    <w:div w:id="1713572533">
      <w:bodyDiv w:val="1"/>
      <w:marLeft w:val="0"/>
      <w:marRight w:val="0"/>
      <w:marTop w:val="0"/>
      <w:marBottom w:val="0"/>
      <w:divBdr>
        <w:top w:val="none" w:sz="0" w:space="0" w:color="auto"/>
        <w:left w:val="none" w:sz="0" w:space="0" w:color="auto"/>
        <w:bottom w:val="none" w:sz="0" w:space="0" w:color="auto"/>
        <w:right w:val="none" w:sz="0" w:space="0" w:color="auto"/>
      </w:divBdr>
    </w:div>
    <w:div w:id="1763649928">
      <w:bodyDiv w:val="1"/>
      <w:marLeft w:val="0"/>
      <w:marRight w:val="0"/>
      <w:marTop w:val="0"/>
      <w:marBottom w:val="0"/>
      <w:divBdr>
        <w:top w:val="none" w:sz="0" w:space="0" w:color="auto"/>
        <w:left w:val="none" w:sz="0" w:space="0" w:color="auto"/>
        <w:bottom w:val="none" w:sz="0" w:space="0" w:color="auto"/>
        <w:right w:val="none" w:sz="0" w:space="0" w:color="auto"/>
      </w:divBdr>
    </w:div>
    <w:div w:id="1813985882">
      <w:bodyDiv w:val="1"/>
      <w:marLeft w:val="0"/>
      <w:marRight w:val="0"/>
      <w:marTop w:val="0"/>
      <w:marBottom w:val="0"/>
      <w:divBdr>
        <w:top w:val="none" w:sz="0" w:space="0" w:color="auto"/>
        <w:left w:val="none" w:sz="0" w:space="0" w:color="auto"/>
        <w:bottom w:val="none" w:sz="0" w:space="0" w:color="auto"/>
        <w:right w:val="none" w:sz="0" w:space="0" w:color="auto"/>
      </w:divBdr>
    </w:div>
    <w:div w:id="1825928543">
      <w:bodyDiv w:val="1"/>
      <w:marLeft w:val="0"/>
      <w:marRight w:val="0"/>
      <w:marTop w:val="0"/>
      <w:marBottom w:val="0"/>
      <w:divBdr>
        <w:top w:val="none" w:sz="0" w:space="0" w:color="auto"/>
        <w:left w:val="none" w:sz="0" w:space="0" w:color="auto"/>
        <w:bottom w:val="none" w:sz="0" w:space="0" w:color="auto"/>
        <w:right w:val="none" w:sz="0" w:space="0" w:color="auto"/>
      </w:divBdr>
    </w:div>
    <w:div w:id="1839152486">
      <w:bodyDiv w:val="1"/>
      <w:marLeft w:val="0"/>
      <w:marRight w:val="0"/>
      <w:marTop w:val="0"/>
      <w:marBottom w:val="0"/>
      <w:divBdr>
        <w:top w:val="none" w:sz="0" w:space="0" w:color="auto"/>
        <w:left w:val="none" w:sz="0" w:space="0" w:color="auto"/>
        <w:bottom w:val="none" w:sz="0" w:space="0" w:color="auto"/>
        <w:right w:val="none" w:sz="0" w:space="0" w:color="auto"/>
      </w:divBdr>
    </w:div>
    <w:div w:id="1858424551">
      <w:bodyDiv w:val="1"/>
      <w:marLeft w:val="0"/>
      <w:marRight w:val="0"/>
      <w:marTop w:val="0"/>
      <w:marBottom w:val="0"/>
      <w:divBdr>
        <w:top w:val="none" w:sz="0" w:space="0" w:color="auto"/>
        <w:left w:val="none" w:sz="0" w:space="0" w:color="auto"/>
        <w:bottom w:val="none" w:sz="0" w:space="0" w:color="auto"/>
        <w:right w:val="none" w:sz="0" w:space="0" w:color="auto"/>
      </w:divBdr>
    </w:div>
    <w:div w:id="1866598271">
      <w:bodyDiv w:val="1"/>
      <w:marLeft w:val="0"/>
      <w:marRight w:val="0"/>
      <w:marTop w:val="0"/>
      <w:marBottom w:val="0"/>
      <w:divBdr>
        <w:top w:val="none" w:sz="0" w:space="0" w:color="auto"/>
        <w:left w:val="none" w:sz="0" w:space="0" w:color="auto"/>
        <w:bottom w:val="none" w:sz="0" w:space="0" w:color="auto"/>
        <w:right w:val="none" w:sz="0" w:space="0" w:color="auto"/>
      </w:divBdr>
    </w:div>
    <w:div w:id="1912931834">
      <w:bodyDiv w:val="1"/>
      <w:marLeft w:val="0"/>
      <w:marRight w:val="0"/>
      <w:marTop w:val="0"/>
      <w:marBottom w:val="0"/>
      <w:divBdr>
        <w:top w:val="none" w:sz="0" w:space="0" w:color="auto"/>
        <w:left w:val="none" w:sz="0" w:space="0" w:color="auto"/>
        <w:bottom w:val="none" w:sz="0" w:space="0" w:color="auto"/>
        <w:right w:val="none" w:sz="0" w:space="0" w:color="auto"/>
      </w:divBdr>
    </w:div>
    <w:div w:id="1958753294">
      <w:bodyDiv w:val="1"/>
      <w:marLeft w:val="0"/>
      <w:marRight w:val="0"/>
      <w:marTop w:val="0"/>
      <w:marBottom w:val="0"/>
      <w:divBdr>
        <w:top w:val="none" w:sz="0" w:space="0" w:color="auto"/>
        <w:left w:val="none" w:sz="0" w:space="0" w:color="auto"/>
        <w:bottom w:val="none" w:sz="0" w:space="0" w:color="auto"/>
        <w:right w:val="none" w:sz="0" w:space="0" w:color="auto"/>
      </w:divBdr>
    </w:div>
    <w:div w:id="1965699254">
      <w:bodyDiv w:val="1"/>
      <w:marLeft w:val="0"/>
      <w:marRight w:val="0"/>
      <w:marTop w:val="0"/>
      <w:marBottom w:val="0"/>
      <w:divBdr>
        <w:top w:val="none" w:sz="0" w:space="0" w:color="auto"/>
        <w:left w:val="none" w:sz="0" w:space="0" w:color="auto"/>
        <w:bottom w:val="none" w:sz="0" w:space="0" w:color="auto"/>
        <w:right w:val="none" w:sz="0" w:space="0" w:color="auto"/>
      </w:divBdr>
    </w:div>
    <w:div w:id="2042779355">
      <w:bodyDiv w:val="1"/>
      <w:marLeft w:val="0"/>
      <w:marRight w:val="0"/>
      <w:marTop w:val="0"/>
      <w:marBottom w:val="0"/>
      <w:divBdr>
        <w:top w:val="none" w:sz="0" w:space="0" w:color="auto"/>
        <w:left w:val="none" w:sz="0" w:space="0" w:color="auto"/>
        <w:bottom w:val="none" w:sz="0" w:space="0" w:color="auto"/>
        <w:right w:val="none" w:sz="0" w:space="0" w:color="auto"/>
      </w:divBdr>
    </w:div>
    <w:div w:id="2065564160">
      <w:bodyDiv w:val="1"/>
      <w:marLeft w:val="0"/>
      <w:marRight w:val="0"/>
      <w:marTop w:val="0"/>
      <w:marBottom w:val="0"/>
      <w:divBdr>
        <w:top w:val="none" w:sz="0" w:space="0" w:color="auto"/>
        <w:left w:val="none" w:sz="0" w:space="0" w:color="auto"/>
        <w:bottom w:val="none" w:sz="0" w:space="0" w:color="auto"/>
        <w:right w:val="none" w:sz="0" w:space="0" w:color="auto"/>
      </w:divBdr>
    </w:div>
    <w:div w:id="213682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image" Target="media/image2.png"/><Relationship Id="rId28" Type="http://schemas.openxmlformats.org/officeDocument/2006/relationships/chart" Target="charts/chart14.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 Id="rId22" Type="http://schemas.openxmlformats.org/officeDocument/2006/relationships/footer" Target="footer1.xml"/><Relationship Id="rId27" Type="http://schemas.openxmlformats.org/officeDocument/2006/relationships/chart" Target="charts/chart13.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20v2.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fs0.acninet.local\strategic_share\Policy%20&amp;%20Research%20Team\Survey%20Data%20Sets\RFO\RFO%201314\1314%20Finance\1314%20charts%20v2.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xlsx"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file:///\\fs0.acninet.local\strategic_share\Policy%20&amp;%20Research%20Team\Survey%20Data%20Sets\RFO\RFO%201314\1314%20Finance\1314%20charts.xlsx" TargetMode="External"/><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stevenson.ACNET\AppData\Roaming\Microsoft\Excel\1314%20charts%20(version%201).xlsb"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s0.acninet.local\strategic_share\Policy%20&amp;%20Research%20Team\Survey%20Data%20Sets\RFO\RFO%201314\1314%20Finance\1314%20charts%20v2.xlsx" TargetMode="External"/></Relationships>
</file>

<file path=word/charts/_rels/chart13.xml.rels><?xml version="1.0" encoding="UTF-8" standalone="yes"?>
<Relationships xmlns="http://schemas.openxmlformats.org/package/2006/relationships"><Relationship Id="rId2" Type="http://schemas.openxmlformats.org/officeDocument/2006/relationships/oleObject" Target="file:///\\fs0.acninet.local\Staff\gstevenson\Book1%20map.xlsx" TargetMode="External"/><Relationship Id="rId1" Type="http://schemas.openxmlformats.org/officeDocument/2006/relationships/themeOverride" Target="../theme/themeOverride3.xml"/></Relationships>
</file>

<file path=word/charts/_rels/chart14.xml.rels><?xml version="1.0" encoding="UTF-8" standalone="yes"?>
<Relationships xmlns="http://schemas.openxmlformats.org/package/2006/relationships"><Relationship Id="rId1" Type="http://schemas.openxmlformats.org/officeDocument/2006/relationships/oleObject" Target="file:///\\fs0.acninet.local\Staff\gstevenson\Book1%20ma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Organisation!$C$9</c:f>
              <c:strCache>
                <c:ptCount val="1"/>
                <c:pt idx="0">
                  <c:v>2012/13</c:v>
                </c:pt>
              </c:strCache>
            </c:strRef>
          </c:tx>
          <c:invertIfNegative val="0"/>
          <c:dLbls>
            <c:showLegendKey val="0"/>
            <c:showVal val="1"/>
            <c:showCatName val="0"/>
            <c:showSerName val="0"/>
            <c:showPercent val="0"/>
            <c:showBubbleSize val="0"/>
            <c:showLeaderLines val="0"/>
          </c:dLbls>
          <c:cat>
            <c:strRef>
              <c:f>Organisation!$B$10:$B$12</c:f>
              <c:strCache>
                <c:ptCount val="3"/>
                <c:pt idx="0">
                  <c:v>Permanenet Staff</c:v>
                </c:pt>
                <c:pt idx="1">
                  <c:v>Contract Staff</c:v>
                </c:pt>
                <c:pt idx="2">
                  <c:v>Volunteers</c:v>
                </c:pt>
              </c:strCache>
            </c:strRef>
          </c:cat>
          <c:val>
            <c:numRef>
              <c:f>Organisation!$C$10:$C$12</c:f>
              <c:numCache>
                <c:formatCode>#,##0</c:formatCode>
                <c:ptCount val="3"/>
                <c:pt idx="0">
                  <c:v>739</c:v>
                </c:pt>
                <c:pt idx="1">
                  <c:v>4153</c:v>
                </c:pt>
                <c:pt idx="2">
                  <c:v>1571</c:v>
                </c:pt>
              </c:numCache>
            </c:numRef>
          </c:val>
        </c:ser>
        <c:ser>
          <c:idx val="1"/>
          <c:order val="1"/>
          <c:tx>
            <c:strRef>
              <c:f>Organisation!$D$9</c:f>
              <c:strCache>
                <c:ptCount val="1"/>
                <c:pt idx="0">
                  <c:v>2013/14</c:v>
                </c:pt>
              </c:strCache>
            </c:strRef>
          </c:tx>
          <c:invertIfNegative val="0"/>
          <c:dLbls>
            <c:showLegendKey val="0"/>
            <c:showVal val="1"/>
            <c:showCatName val="0"/>
            <c:showSerName val="0"/>
            <c:showPercent val="0"/>
            <c:showBubbleSize val="0"/>
            <c:showLeaderLines val="0"/>
          </c:dLbls>
          <c:cat>
            <c:strRef>
              <c:f>Organisation!$B$10:$B$12</c:f>
              <c:strCache>
                <c:ptCount val="3"/>
                <c:pt idx="0">
                  <c:v>Permanenet Staff</c:v>
                </c:pt>
                <c:pt idx="1">
                  <c:v>Contract Staff</c:v>
                </c:pt>
                <c:pt idx="2">
                  <c:v>Volunteers</c:v>
                </c:pt>
              </c:strCache>
            </c:strRef>
          </c:cat>
          <c:val>
            <c:numRef>
              <c:f>Organisation!$D$10:$D$12</c:f>
              <c:numCache>
                <c:formatCode>#,##0</c:formatCode>
                <c:ptCount val="3"/>
                <c:pt idx="0">
                  <c:v>718</c:v>
                </c:pt>
                <c:pt idx="1">
                  <c:v>4318</c:v>
                </c:pt>
                <c:pt idx="2">
                  <c:v>1591</c:v>
                </c:pt>
              </c:numCache>
            </c:numRef>
          </c:val>
        </c:ser>
        <c:dLbls>
          <c:showLegendKey val="0"/>
          <c:showVal val="0"/>
          <c:showCatName val="0"/>
          <c:showSerName val="0"/>
          <c:showPercent val="0"/>
          <c:showBubbleSize val="0"/>
        </c:dLbls>
        <c:gapWidth val="75"/>
        <c:overlap val="-25"/>
        <c:axId val="164881408"/>
        <c:axId val="86966848"/>
      </c:barChart>
      <c:catAx>
        <c:axId val="164881408"/>
        <c:scaling>
          <c:orientation val="minMax"/>
        </c:scaling>
        <c:delete val="0"/>
        <c:axPos val="b"/>
        <c:majorTickMark val="none"/>
        <c:minorTickMark val="none"/>
        <c:tickLblPos val="nextTo"/>
        <c:crossAx val="86966848"/>
        <c:crosses val="autoZero"/>
        <c:auto val="1"/>
        <c:lblAlgn val="ctr"/>
        <c:lblOffset val="100"/>
        <c:noMultiLvlLbl val="0"/>
      </c:catAx>
      <c:valAx>
        <c:axId val="86966848"/>
        <c:scaling>
          <c:orientation val="minMax"/>
        </c:scaling>
        <c:delete val="1"/>
        <c:axPos val="l"/>
        <c:majorGridlines/>
        <c:numFmt formatCode="#,##0" sourceLinked="1"/>
        <c:majorTickMark val="none"/>
        <c:minorTickMark val="none"/>
        <c:tickLblPos val="nextTo"/>
        <c:crossAx val="164881408"/>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percentStacked"/>
        <c:varyColors val="0"/>
        <c:ser>
          <c:idx val="0"/>
          <c:order val="0"/>
          <c:tx>
            <c:strRef>
              <c:f>Organisation!$B$20</c:f>
              <c:strCache>
                <c:ptCount val="1"/>
                <c:pt idx="0">
                  <c:v>Full-time</c:v>
                </c:pt>
              </c:strCache>
            </c:strRef>
          </c:tx>
          <c:invertIfNegative val="0"/>
          <c:dLbls>
            <c:txPr>
              <a:bodyPr/>
              <a:lstStyle/>
              <a:p>
                <a:pPr>
                  <a:defRPr sz="1400"/>
                </a:pPr>
                <a:endParaRPr lang="en-US"/>
              </a:p>
            </c:txPr>
            <c:showLegendKey val="0"/>
            <c:showVal val="1"/>
            <c:showCatName val="0"/>
            <c:showSerName val="0"/>
            <c:showPercent val="0"/>
            <c:showBubbleSize val="0"/>
            <c:showLeaderLines val="0"/>
          </c:dLbls>
          <c:cat>
            <c:strRef>
              <c:f>Organisation!$C$19:$D$19</c:f>
              <c:strCache>
                <c:ptCount val="2"/>
                <c:pt idx="0">
                  <c:v>2012/13</c:v>
                </c:pt>
                <c:pt idx="1">
                  <c:v>2013/14</c:v>
                </c:pt>
              </c:strCache>
            </c:strRef>
          </c:cat>
          <c:val>
            <c:numRef>
              <c:f>Organisation!$C$20:$D$20</c:f>
              <c:numCache>
                <c:formatCode>0%</c:formatCode>
                <c:ptCount val="2"/>
                <c:pt idx="0">
                  <c:v>0.58998646820027068</c:v>
                </c:pt>
                <c:pt idx="1">
                  <c:v>0.58774373259052926</c:v>
                </c:pt>
              </c:numCache>
            </c:numRef>
          </c:val>
        </c:ser>
        <c:ser>
          <c:idx val="1"/>
          <c:order val="1"/>
          <c:tx>
            <c:strRef>
              <c:f>Organisation!$B$21</c:f>
              <c:strCache>
                <c:ptCount val="1"/>
                <c:pt idx="0">
                  <c:v>Part-time</c:v>
                </c:pt>
              </c:strCache>
            </c:strRef>
          </c:tx>
          <c:invertIfNegative val="0"/>
          <c:dLbls>
            <c:txPr>
              <a:bodyPr/>
              <a:lstStyle/>
              <a:p>
                <a:pPr>
                  <a:defRPr sz="1400"/>
                </a:pPr>
                <a:endParaRPr lang="en-US"/>
              </a:p>
            </c:txPr>
            <c:showLegendKey val="0"/>
            <c:showVal val="1"/>
            <c:showCatName val="0"/>
            <c:showSerName val="0"/>
            <c:showPercent val="0"/>
            <c:showBubbleSize val="0"/>
            <c:showLeaderLines val="0"/>
          </c:dLbls>
          <c:cat>
            <c:strRef>
              <c:f>Organisation!$C$19:$D$19</c:f>
              <c:strCache>
                <c:ptCount val="2"/>
                <c:pt idx="0">
                  <c:v>2012/13</c:v>
                </c:pt>
                <c:pt idx="1">
                  <c:v>2013/14</c:v>
                </c:pt>
              </c:strCache>
            </c:strRef>
          </c:cat>
          <c:val>
            <c:numRef>
              <c:f>Organisation!$C$21:$D$21</c:f>
              <c:numCache>
                <c:formatCode>0%</c:formatCode>
                <c:ptCount val="2"/>
                <c:pt idx="0">
                  <c:v>0.41001353179972938</c:v>
                </c:pt>
                <c:pt idx="1">
                  <c:v>0.41225626740947074</c:v>
                </c:pt>
              </c:numCache>
            </c:numRef>
          </c:val>
        </c:ser>
        <c:dLbls>
          <c:showLegendKey val="0"/>
          <c:showVal val="0"/>
          <c:showCatName val="0"/>
          <c:showSerName val="0"/>
          <c:showPercent val="0"/>
          <c:showBubbleSize val="0"/>
        </c:dLbls>
        <c:gapWidth val="150"/>
        <c:overlap val="100"/>
        <c:axId val="236068352"/>
        <c:axId val="86969728"/>
      </c:barChart>
      <c:catAx>
        <c:axId val="236068352"/>
        <c:scaling>
          <c:orientation val="minMax"/>
        </c:scaling>
        <c:delete val="0"/>
        <c:axPos val="l"/>
        <c:majorTickMark val="out"/>
        <c:minorTickMark val="none"/>
        <c:tickLblPos val="nextTo"/>
        <c:crossAx val="86969728"/>
        <c:crosses val="autoZero"/>
        <c:auto val="1"/>
        <c:lblAlgn val="ctr"/>
        <c:lblOffset val="100"/>
        <c:noMultiLvlLbl val="0"/>
      </c:catAx>
      <c:valAx>
        <c:axId val="86969728"/>
        <c:scaling>
          <c:orientation val="minMax"/>
        </c:scaling>
        <c:delete val="1"/>
        <c:axPos val="b"/>
        <c:majorGridlines/>
        <c:numFmt formatCode="0%" sourceLinked="1"/>
        <c:majorTickMark val="out"/>
        <c:minorTickMark val="none"/>
        <c:tickLblPos val="nextTo"/>
        <c:crossAx val="23606835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'Finance charts'!$D$24</c:f>
              <c:strCache>
                <c:ptCount val="1"/>
                <c:pt idx="0">
                  <c:v>Grant Income</c:v>
                </c:pt>
              </c:strCache>
            </c:strRef>
          </c:tx>
          <c:invertIfNegative val="0"/>
          <c:dLbls>
            <c:showLegendKey val="0"/>
            <c:showVal val="1"/>
            <c:showCatName val="0"/>
            <c:showSerName val="0"/>
            <c:showPercent val="0"/>
            <c:showBubbleSize val="0"/>
            <c:showLeaderLines val="0"/>
          </c:dLbls>
          <c:cat>
            <c:strRef>
              <c:f>'Finance charts'!$C$25:$C$32</c:f>
              <c:strCache>
                <c:ptCount val="8"/>
                <c:pt idx="0">
                  <c:v>Drama</c:v>
                </c:pt>
                <c:pt idx="1">
                  <c:v>Combined Arts</c:v>
                </c:pt>
                <c:pt idx="2">
                  <c:v>Music</c:v>
                </c:pt>
                <c:pt idx="3">
                  <c:v>Literature</c:v>
                </c:pt>
                <c:pt idx="4">
                  <c:v>Visual Arts</c:v>
                </c:pt>
                <c:pt idx="5">
                  <c:v>Traditional Arts</c:v>
                </c:pt>
                <c:pt idx="6">
                  <c:v>Dance</c:v>
                </c:pt>
                <c:pt idx="7">
                  <c:v>Overall</c:v>
                </c:pt>
              </c:strCache>
            </c:strRef>
          </c:cat>
          <c:val>
            <c:numRef>
              <c:f>'Finance charts'!$D$25:$D$32</c:f>
              <c:numCache>
                <c:formatCode>0%</c:formatCode>
                <c:ptCount val="8"/>
                <c:pt idx="0">
                  <c:v>0.35006871797791228</c:v>
                </c:pt>
                <c:pt idx="1">
                  <c:v>0.56905811100482362</c:v>
                </c:pt>
                <c:pt idx="2">
                  <c:v>0.51380574266233481</c:v>
                </c:pt>
                <c:pt idx="3">
                  <c:v>0.625798608558648</c:v>
                </c:pt>
                <c:pt idx="4">
                  <c:v>0.72027987344712485</c:v>
                </c:pt>
                <c:pt idx="5">
                  <c:v>0.69004078696025428</c:v>
                </c:pt>
                <c:pt idx="6">
                  <c:v>0.54366342693190939</c:v>
                </c:pt>
                <c:pt idx="7">
                  <c:v>0.51614364403218616</c:v>
                </c:pt>
              </c:numCache>
            </c:numRef>
          </c:val>
        </c:ser>
        <c:ser>
          <c:idx val="1"/>
          <c:order val="1"/>
          <c:tx>
            <c:strRef>
              <c:f>'Finance charts'!$E$24</c:f>
              <c:strCache>
                <c:ptCount val="1"/>
                <c:pt idx="0">
                  <c:v>Earned Income</c:v>
                </c:pt>
              </c:strCache>
            </c:strRef>
          </c:tx>
          <c:invertIfNegative val="0"/>
          <c:dLbls>
            <c:showLegendKey val="0"/>
            <c:showVal val="1"/>
            <c:showCatName val="0"/>
            <c:showSerName val="0"/>
            <c:showPercent val="0"/>
            <c:showBubbleSize val="0"/>
            <c:showLeaderLines val="0"/>
          </c:dLbls>
          <c:cat>
            <c:strRef>
              <c:f>'Finance charts'!$C$25:$C$32</c:f>
              <c:strCache>
                <c:ptCount val="8"/>
                <c:pt idx="0">
                  <c:v>Drama</c:v>
                </c:pt>
                <c:pt idx="1">
                  <c:v>Combined Arts</c:v>
                </c:pt>
                <c:pt idx="2">
                  <c:v>Music</c:v>
                </c:pt>
                <c:pt idx="3">
                  <c:v>Literature</c:v>
                </c:pt>
                <c:pt idx="4">
                  <c:v>Visual Arts</c:v>
                </c:pt>
                <c:pt idx="5">
                  <c:v>Traditional Arts</c:v>
                </c:pt>
                <c:pt idx="6">
                  <c:v>Dance</c:v>
                </c:pt>
                <c:pt idx="7">
                  <c:v>Overall</c:v>
                </c:pt>
              </c:strCache>
            </c:strRef>
          </c:cat>
          <c:val>
            <c:numRef>
              <c:f>'Finance charts'!$E$25:$E$32</c:f>
              <c:numCache>
                <c:formatCode>0%</c:formatCode>
                <c:ptCount val="8"/>
                <c:pt idx="0">
                  <c:v>0.61379969787687882</c:v>
                </c:pt>
                <c:pt idx="1">
                  <c:v>0.36986621718178808</c:v>
                </c:pt>
                <c:pt idx="2">
                  <c:v>0.20693941431562188</c:v>
                </c:pt>
                <c:pt idx="3">
                  <c:v>0.24857778280041562</c:v>
                </c:pt>
                <c:pt idx="4">
                  <c:v>0.19569670654730717</c:v>
                </c:pt>
                <c:pt idx="5">
                  <c:v>0.2459516047401627</c:v>
                </c:pt>
                <c:pt idx="6">
                  <c:v>0.10677200015721416</c:v>
                </c:pt>
                <c:pt idx="7">
                  <c:v>0.39181964918478168</c:v>
                </c:pt>
              </c:numCache>
            </c:numRef>
          </c:val>
        </c:ser>
        <c:ser>
          <c:idx val="2"/>
          <c:order val="2"/>
          <c:tx>
            <c:strRef>
              <c:f>'Finance charts'!$F$24</c:f>
              <c:strCache>
                <c:ptCount val="1"/>
                <c:pt idx="0">
                  <c:v>Contributed Income</c:v>
                </c:pt>
              </c:strCache>
            </c:strRef>
          </c:tx>
          <c:invertIfNegative val="0"/>
          <c:dLbls>
            <c:showLegendKey val="0"/>
            <c:showVal val="1"/>
            <c:showCatName val="0"/>
            <c:showSerName val="0"/>
            <c:showPercent val="0"/>
            <c:showBubbleSize val="0"/>
            <c:showLeaderLines val="0"/>
          </c:dLbls>
          <c:cat>
            <c:strRef>
              <c:f>'Finance charts'!$C$25:$C$32</c:f>
              <c:strCache>
                <c:ptCount val="8"/>
                <c:pt idx="0">
                  <c:v>Drama</c:v>
                </c:pt>
                <c:pt idx="1">
                  <c:v>Combined Arts</c:v>
                </c:pt>
                <c:pt idx="2">
                  <c:v>Music</c:v>
                </c:pt>
                <c:pt idx="3">
                  <c:v>Literature</c:v>
                </c:pt>
                <c:pt idx="4">
                  <c:v>Visual Arts</c:v>
                </c:pt>
                <c:pt idx="5">
                  <c:v>Traditional Arts</c:v>
                </c:pt>
                <c:pt idx="6">
                  <c:v>Dance</c:v>
                </c:pt>
                <c:pt idx="7">
                  <c:v>Overall</c:v>
                </c:pt>
              </c:strCache>
            </c:strRef>
          </c:cat>
          <c:val>
            <c:numRef>
              <c:f>'Finance charts'!$F$25:$F$32</c:f>
              <c:numCache>
                <c:formatCode>0%</c:formatCode>
                <c:ptCount val="8"/>
                <c:pt idx="0">
                  <c:v>2.9703951738694497E-2</c:v>
                </c:pt>
                <c:pt idx="1">
                  <c:v>4.8853133012116329E-2</c:v>
                </c:pt>
                <c:pt idx="2">
                  <c:v>8.6021047282561547E-2</c:v>
                </c:pt>
                <c:pt idx="3">
                  <c:v>3.8563252504217736E-2</c:v>
                </c:pt>
                <c:pt idx="4">
                  <c:v>4.221560907173616E-2</c:v>
                </c:pt>
                <c:pt idx="5">
                  <c:v>1.6056501537497634E-2</c:v>
                </c:pt>
                <c:pt idx="6">
                  <c:v>6.7477442574718841E-2</c:v>
                </c:pt>
                <c:pt idx="7">
                  <c:v>4.5591334567512597E-2</c:v>
                </c:pt>
              </c:numCache>
            </c:numRef>
          </c:val>
        </c:ser>
        <c:ser>
          <c:idx val="3"/>
          <c:order val="3"/>
          <c:tx>
            <c:strRef>
              <c:f>'Finance charts'!$G$24</c:f>
              <c:strCache>
                <c:ptCount val="1"/>
                <c:pt idx="0">
                  <c:v>Capital Income</c:v>
                </c:pt>
              </c:strCache>
            </c:strRef>
          </c:tx>
          <c:invertIfNegative val="0"/>
          <c:dLbls>
            <c:dLbl>
              <c:idx val="0"/>
              <c:delete val="1"/>
            </c:dLbl>
            <c:dLbl>
              <c:idx val="1"/>
              <c:delete val="1"/>
            </c:dLbl>
            <c:dLbl>
              <c:idx val="5"/>
              <c:layout>
                <c:manualLayout>
                  <c:x val="0"/>
                  <c:y val="-3.3291705594369666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'Finance charts'!$C$25:$C$32</c:f>
              <c:strCache>
                <c:ptCount val="8"/>
                <c:pt idx="0">
                  <c:v>Drama</c:v>
                </c:pt>
                <c:pt idx="1">
                  <c:v>Combined Arts</c:v>
                </c:pt>
                <c:pt idx="2">
                  <c:v>Music</c:v>
                </c:pt>
                <c:pt idx="3">
                  <c:v>Literature</c:v>
                </c:pt>
                <c:pt idx="4">
                  <c:v>Visual Arts</c:v>
                </c:pt>
                <c:pt idx="5">
                  <c:v>Traditional Arts</c:v>
                </c:pt>
                <c:pt idx="6">
                  <c:v>Dance</c:v>
                </c:pt>
                <c:pt idx="7">
                  <c:v>Overall</c:v>
                </c:pt>
              </c:strCache>
            </c:strRef>
          </c:cat>
          <c:val>
            <c:numRef>
              <c:f>'Finance charts'!$G$25:$G$32</c:f>
              <c:numCache>
                <c:formatCode>0%</c:formatCode>
                <c:ptCount val="8"/>
                <c:pt idx="0">
                  <c:v>6.4276990679859687E-3</c:v>
                </c:pt>
                <c:pt idx="1">
                  <c:v>1.2222538801271993E-2</c:v>
                </c:pt>
                <c:pt idx="2">
                  <c:v>0.19323364193904211</c:v>
                </c:pt>
                <c:pt idx="3">
                  <c:v>8.7060721862774471E-2</c:v>
                </c:pt>
                <c:pt idx="4">
                  <c:v>4.1807810933831797E-2</c:v>
                </c:pt>
                <c:pt idx="5">
                  <c:v>4.795110676208536E-2</c:v>
                </c:pt>
                <c:pt idx="6">
                  <c:v>0.28208713033615757</c:v>
                </c:pt>
                <c:pt idx="7">
                  <c:v>4.6445391999106099E-2</c:v>
                </c:pt>
              </c:numCache>
            </c:numRef>
          </c:val>
        </c:ser>
        <c:dLbls>
          <c:showLegendKey val="0"/>
          <c:showVal val="0"/>
          <c:showCatName val="0"/>
          <c:showSerName val="0"/>
          <c:showPercent val="0"/>
          <c:showBubbleSize val="0"/>
        </c:dLbls>
        <c:gapWidth val="75"/>
        <c:overlap val="100"/>
        <c:axId val="74902016"/>
        <c:axId val="86970304"/>
      </c:barChart>
      <c:catAx>
        <c:axId val="74902016"/>
        <c:scaling>
          <c:orientation val="minMax"/>
        </c:scaling>
        <c:delete val="0"/>
        <c:axPos val="b"/>
        <c:majorTickMark val="none"/>
        <c:minorTickMark val="none"/>
        <c:tickLblPos val="nextTo"/>
        <c:crossAx val="86970304"/>
        <c:crosses val="autoZero"/>
        <c:auto val="1"/>
        <c:lblAlgn val="ctr"/>
        <c:lblOffset val="100"/>
        <c:noMultiLvlLbl val="0"/>
      </c:catAx>
      <c:valAx>
        <c:axId val="86970304"/>
        <c:scaling>
          <c:orientation val="minMax"/>
        </c:scaling>
        <c:delete val="1"/>
        <c:axPos val="l"/>
        <c:majorGridlines/>
        <c:numFmt formatCode="0%" sourceLinked="1"/>
        <c:majorTickMark val="none"/>
        <c:minorTickMark val="none"/>
        <c:tickLblPos val="nextTo"/>
        <c:crossAx val="74902016"/>
        <c:crosses val="autoZero"/>
        <c:crossBetween val="between"/>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'Finance charts'!$D$101</c:f>
              <c:strCache>
                <c:ptCount val="1"/>
                <c:pt idx="0">
                  <c:v>Core costs</c:v>
                </c:pt>
              </c:strCache>
            </c:strRef>
          </c:tx>
          <c:invertIfNegative val="0"/>
          <c:dLbls>
            <c:showLegendKey val="0"/>
            <c:showVal val="1"/>
            <c:showCatName val="0"/>
            <c:showSerName val="0"/>
            <c:showPercent val="0"/>
            <c:showBubbleSize val="0"/>
            <c:showLeaderLines val="0"/>
          </c:dLbls>
          <c:cat>
            <c:strRef>
              <c:f>'Finance charts'!$C$102:$C$109</c:f>
              <c:strCache>
                <c:ptCount val="8"/>
                <c:pt idx="0">
                  <c:v>Combined Arts</c:v>
                </c:pt>
                <c:pt idx="1">
                  <c:v>Dance</c:v>
                </c:pt>
                <c:pt idx="2">
                  <c:v>Drama</c:v>
                </c:pt>
                <c:pt idx="3">
                  <c:v>Literature</c:v>
                </c:pt>
                <c:pt idx="4">
                  <c:v>Music</c:v>
                </c:pt>
                <c:pt idx="5">
                  <c:v>Traditional Arts</c:v>
                </c:pt>
                <c:pt idx="6">
                  <c:v>Visual Arts</c:v>
                </c:pt>
                <c:pt idx="7">
                  <c:v>Total</c:v>
                </c:pt>
              </c:strCache>
            </c:strRef>
          </c:cat>
          <c:val>
            <c:numRef>
              <c:f>'Finance charts'!$D$102:$D$109</c:f>
              <c:numCache>
                <c:formatCode>0%</c:formatCode>
                <c:ptCount val="8"/>
                <c:pt idx="0">
                  <c:v>0.49796699705320213</c:v>
                </c:pt>
                <c:pt idx="1">
                  <c:v>0.32414928809478794</c:v>
                </c:pt>
                <c:pt idx="2">
                  <c:v>0.36701146197724749</c:v>
                </c:pt>
                <c:pt idx="3">
                  <c:v>0.52638493938629394</c:v>
                </c:pt>
                <c:pt idx="4">
                  <c:v>0.28274257091295235</c:v>
                </c:pt>
                <c:pt idx="5">
                  <c:v>0.40407868469645081</c:v>
                </c:pt>
                <c:pt idx="6">
                  <c:v>0.69701251573030476</c:v>
                </c:pt>
                <c:pt idx="7">
                  <c:v>0.44311963488806672</c:v>
                </c:pt>
              </c:numCache>
            </c:numRef>
          </c:val>
        </c:ser>
        <c:ser>
          <c:idx val="1"/>
          <c:order val="1"/>
          <c:tx>
            <c:strRef>
              <c:f>'Finance charts'!$E$101</c:f>
              <c:strCache>
                <c:ptCount val="1"/>
                <c:pt idx="0">
                  <c:v>Programme Costs</c:v>
                </c:pt>
              </c:strCache>
            </c:strRef>
          </c:tx>
          <c:invertIfNegative val="0"/>
          <c:dLbls>
            <c:showLegendKey val="0"/>
            <c:showVal val="1"/>
            <c:showCatName val="0"/>
            <c:showSerName val="0"/>
            <c:showPercent val="0"/>
            <c:showBubbleSize val="0"/>
            <c:showLeaderLines val="0"/>
          </c:dLbls>
          <c:cat>
            <c:strRef>
              <c:f>'Finance charts'!$C$102:$C$109</c:f>
              <c:strCache>
                <c:ptCount val="8"/>
                <c:pt idx="0">
                  <c:v>Combined Arts</c:v>
                </c:pt>
                <c:pt idx="1">
                  <c:v>Dance</c:v>
                </c:pt>
                <c:pt idx="2">
                  <c:v>Drama</c:v>
                </c:pt>
                <c:pt idx="3">
                  <c:v>Literature</c:v>
                </c:pt>
                <c:pt idx="4">
                  <c:v>Music</c:v>
                </c:pt>
                <c:pt idx="5">
                  <c:v>Traditional Arts</c:v>
                </c:pt>
                <c:pt idx="6">
                  <c:v>Visual Arts</c:v>
                </c:pt>
                <c:pt idx="7">
                  <c:v>Total</c:v>
                </c:pt>
              </c:strCache>
            </c:strRef>
          </c:cat>
          <c:val>
            <c:numRef>
              <c:f>'Finance charts'!$E$102:$E$109</c:f>
              <c:numCache>
                <c:formatCode>0%</c:formatCode>
                <c:ptCount val="8"/>
                <c:pt idx="0">
                  <c:v>0.50203300294679798</c:v>
                </c:pt>
                <c:pt idx="1">
                  <c:v>0.67585071190521195</c:v>
                </c:pt>
                <c:pt idx="2">
                  <c:v>0.63298853802275246</c:v>
                </c:pt>
                <c:pt idx="3">
                  <c:v>0.47361469706961651</c:v>
                </c:pt>
                <c:pt idx="4">
                  <c:v>0.7172574290870477</c:v>
                </c:pt>
                <c:pt idx="5">
                  <c:v>0.59592131530354919</c:v>
                </c:pt>
                <c:pt idx="6">
                  <c:v>0.30644859052369539</c:v>
                </c:pt>
                <c:pt idx="7">
                  <c:v>0.55711661701978732</c:v>
                </c:pt>
              </c:numCache>
            </c:numRef>
          </c:val>
        </c:ser>
        <c:dLbls>
          <c:showLegendKey val="0"/>
          <c:showVal val="0"/>
          <c:showCatName val="0"/>
          <c:showSerName val="0"/>
          <c:showPercent val="0"/>
          <c:showBubbleSize val="0"/>
        </c:dLbls>
        <c:gapWidth val="75"/>
        <c:overlap val="100"/>
        <c:axId val="74902528"/>
        <c:axId val="86972032"/>
      </c:barChart>
      <c:catAx>
        <c:axId val="74902528"/>
        <c:scaling>
          <c:orientation val="minMax"/>
        </c:scaling>
        <c:delete val="0"/>
        <c:axPos val="b"/>
        <c:majorTickMark val="none"/>
        <c:minorTickMark val="none"/>
        <c:tickLblPos val="nextTo"/>
        <c:crossAx val="86972032"/>
        <c:crosses val="autoZero"/>
        <c:auto val="1"/>
        <c:lblAlgn val="ctr"/>
        <c:lblOffset val="100"/>
        <c:noMultiLvlLbl val="0"/>
      </c:catAx>
      <c:valAx>
        <c:axId val="86972032"/>
        <c:scaling>
          <c:orientation val="minMax"/>
        </c:scaling>
        <c:delete val="1"/>
        <c:axPos val="l"/>
        <c:majorGridlines/>
        <c:numFmt formatCode="0%" sourceLinked="1"/>
        <c:majorTickMark val="none"/>
        <c:minorTickMark val="none"/>
        <c:tickLblPos val="nextTo"/>
        <c:crossAx val="74902528"/>
        <c:crosses val="autoZero"/>
        <c:crossBetween val="between"/>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'Activity charts'!$B$18:$B$26</c:f>
              <c:strCache>
                <c:ptCount val="9"/>
                <c:pt idx="0">
                  <c:v>Victims</c:v>
                </c:pt>
                <c:pt idx="1">
                  <c:v>Offenders</c:v>
                </c:pt>
                <c:pt idx="2">
                  <c:v>Ethnic minorities</c:v>
                </c:pt>
                <c:pt idx="3">
                  <c:v>Rural groups</c:v>
                </c:pt>
                <c:pt idx="4">
                  <c:v>Older People</c:v>
                </c:pt>
                <c:pt idx="5">
                  <c:v>Disabled people</c:v>
                </c:pt>
                <c:pt idx="6">
                  <c:v>Socially/economically deprived</c:v>
                </c:pt>
                <c:pt idx="7">
                  <c:v>Childeren or young people</c:v>
                </c:pt>
                <c:pt idx="8">
                  <c:v>No targeting </c:v>
                </c:pt>
              </c:strCache>
            </c:strRef>
          </c:cat>
          <c:val>
            <c:numRef>
              <c:f>'Activity charts'!$D$18:$D$26</c:f>
              <c:numCache>
                <c:formatCode>0.00%</c:formatCode>
                <c:ptCount val="9"/>
                <c:pt idx="0">
                  <c:v>2.7E-2</c:v>
                </c:pt>
                <c:pt idx="1">
                  <c:v>0.03</c:v>
                </c:pt>
                <c:pt idx="2">
                  <c:v>5.7000000000000002E-2</c:v>
                </c:pt>
                <c:pt idx="3">
                  <c:v>0.10299999999999999</c:v>
                </c:pt>
                <c:pt idx="4">
                  <c:v>0.158</c:v>
                </c:pt>
                <c:pt idx="5">
                  <c:v>0.17100000000000001</c:v>
                </c:pt>
                <c:pt idx="6">
                  <c:v>0.224</c:v>
                </c:pt>
                <c:pt idx="7">
                  <c:v>0.39800000000000002</c:v>
                </c:pt>
                <c:pt idx="8">
                  <c:v>0.40400000000000003</c:v>
                </c:pt>
              </c:numCache>
            </c:numRef>
          </c:val>
        </c:ser>
        <c:dLbls>
          <c:showLegendKey val="0"/>
          <c:showVal val="0"/>
          <c:showCatName val="0"/>
          <c:showSerName val="0"/>
          <c:showPercent val="0"/>
          <c:showBubbleSize val="0"/>
        </c:dLbls>
        <c:gapWidth val="80"/>
        <c:axId val="147627008"/>
        <c:axId val="86973760"/>
      </c:barChart>
      <c:catAx>
        <c:axId val="147627008"/>
        <c:scaling>
          <c:orientation val="minMax"/>
        </c:scaling>
        <c:delete val="0"/>
        <c:axPos val="l"/>
        <c:majorTickMark val="out"/>
        <c:minorTickMark val="none"/>
        <c:tickLblPos val="nextTo"/>
        <c:crossAx val="86973760"/>
        <c:crosses val="autoZero"/>
        <c:auto val="1"/>
        <c:lblAlgn val="ctr"/>
        <c:lblOffset val="100"/>
        <c:noMultiLvlLbl val="0"/>
      </c:catAx>
      <c:valAx>
        <c:axId val="86973760"/>
        <c:scaling>
          <c:orientation val="minMax"/>
        </c:scaling>
        <c:delete val="0"/>
        <c:axPos val="b"/>
        <c:majorGridlines/>
        <c:numFmt formatCode="0%" sourceLinked="0"/>
        <c:majorTickMark val="out"/>
        <c:minorTickMark val="none"/>
        <c:tickLblPos val="nextTo"/>
        <c:crossAx val="14762700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'Activity charts'!$D$3</c:f>
              <c:strCache>
                <c:ptCount val="1"/>
                <c:pt idx="0">
                  <c:v>Exhibition</c:v>
                </c:pt>
              </c:strCache>
            </c:strRef>
          </c:tx>
          <c:invertIfNegative val="0"/>
          <c:dLbls>
            <c:numFmt formatCode="0%" sourceLinked="0"/>
            <c:showLegendKey val="0"/>
            <c:showVal val="1"/>
            <c:showCatName val="0"/>
            <c:showSerName val="0"/>
            <c:showPercent val="0"/>
            <c:showBubbleSize val="0"/>
            <c:showLeaderLines val="0"/>
          </c:dLbls>
          <c:cat>
            <c:strRef>
              <c:f>'Activity charts'!$B$4:$B$12</c:f>
              <c:strCache>
                <c:ptCount val="9"/>
                <c:pt idx="0">
                  <c:v>Victims</c:v>
                </c:pt>
                <c:pt idx="1">
                  <c:v>Offenders</c:v>
                </c:pt>
                <c:pt idx="2">
                  <c:v>Ethnic minorities</c:v>
                </c:pt>
                <c:pt idx="3">
                  <c:v>Rural groups</c:v>
                </c:pt>
                <c:pt idx="4">
                  <c:v>Older People</c:v>
                </c:pt>
                <c:pt idx="5">
                  <c:v>Disabled people</c:v>
                </c:pt>
                <c:pt idx="6">
                  <c:v>Socially/economically deprived</c:v>
                </c:pt>
                <c:pt idx="7">
                  <c:v>Childeren or young people</c:v>
                </c:pt>
                <c:pt idx="8">
                  <c:v>No targeting </c:v>
                </c:pt>
              </c:strCache>
            </c:strRef>
          </c:cat>
          <c:val>
            <c:numRef>
              <c:f>'Activity charts'!$D$4:$D$12</c:f>
              <c:numCache>
                <c:formatCode>0.00%</c:formatCode>
                <c:ptCount val="9"/>
                <c:pt idx="0">
                  <c:v>3.5999999999999997E-2</c:v>
                </c:pt>
                <c:pt idx="1">
                  <c:v>0.02</c:v>
                </c:pt>
                <c:pt idx="2">
                  <c:v>0.124</c:v>
                </c:pt>
                <c:pt idx="3">
                  <c:v>0.16</c:v>
                </c:pt>
                <c:pt idx="4">
                  <c:v>0.29399999999999998</c:v>
                </c:pt>
                <c:pt idx="5">
                  <c:v>0.216</c:v>
                </c:pt>
                <c:pt idx="6">
                  <c:v>0.20699999999999999</c:v>
                </c:pt>
                <c:pt idx="7">
                  <c:v>0.35499999999999998</c:v>
                </c:pt>
                <c:pt idx="8">
                  <c:v>0.53900000000000003</c:v>
                </c:pt>
              </c:numCache>
            </c:numRef>
          </c:val>
        </c:ser>
        <c:ser>
          <c:idx val="1"/>
          <c:order val="1"/>
          <c:tx>
            <c:strRef>
              <c:f>'Activity charts'!$F$3</c:f>
              <c:strCache>
                <c:ptCount val="1"/>
                <c:pt idx="0">
                  <c:v>Participation</c:v>
                </c:pt>
              </c:strCache>
            </c:strRef>
          </c:tx>
          <c:invertIfNegative val="0"/>
          <c:dLbls>
            <c:numFmt formatCode="0%" sourceLinked="0"/>
            <c:showLegendKey val="0"/>
            <c:showVal val="1"/>
            <c:showCatName val="0"/>
            <c:showSerName val="0"/>
            <c:showPercent val="0"/>
            <c:showBubbleSize val="0"/>
            <c:showLeaderLines val="0"/>
          </c:dLbls>
          <c:cat>
            <c:strRef>
              <c:f>'Activity charts'!$B$4:$B$12</c:f>
              <c:strCache>
                <c:ptCount val="9"/>
                <c:pt idx="0">
                  <c:v>Victims</c:v>
                </c:pt>
                <c:pt idx="1">
                  <c:v>Offenders</c:v>
                </c:pt>
                <c:pt idx="2">
                  <c:v>Ethnic minorities</c:v>
                </c:pt>
                <c:pt idx="3">
                  <c:v>Rural groups</c:v>
                </c:pt>
                <c:pt idx="4">
                  <c:v>Older People</c:v>
                </c:pt>
                <c:pt idx="5">
                  <c:v>Disabled people</c:v>
                </c:pt>
                <c:pt idx="6">
                  <c:v>Socially/economically deprived</c:v>
                </c:pt>
                <c:pt idx="7">
                  <c:v>Childeren or young people</c:v>
                </c:pt>
                <c:pt idx="8">
                  <c:v>No targeting </c:v>
                </c:pt>
              </c:strCache>
            </c:strRef>
          </c:cat>
          <c:val>
            <c:numRef>
              <c:f>'Activity charts'!$F$4:$F$12</c:f>
              <c:numCache>
                <c:formatCode>0.00%</c:formatCode>
                <c:ptCount val="9"/>
                <c:pt idx="0">
                  <c:v>0.02</c:v>
                </c:pt>
                <c:pt idx="1">
                  <c:v>3.6999999999999998E-2</c:v>
                </c:pt>
                <c:pt idx="2">
                  <c:v>6.2E-2</c:v>
                </c:pt>
                <c:pt idx="3">
                  <c:v>0.112</c:v>
                </c:pt>
                <c:pt idx="4">
                  <c:v>0.186</c:v>
                </c:pt>
                <c:pt idx="5">
                  <c:v>0.25</c:v>
                </c:pt>
                <c:pt idx="6">
                  <c:v>0.245</c:v>
                </c:pt>
                <c:pt idx="7">
                  <c:v>0.47899999999999998</c:v>
                </c:pt>
                <c:pt idx="8">
                  <c:v>0.248</c:v>
                </c:pt>
              </c:numCache>
            </c:numRef>
          </c:val>
        </c:ser>
        <c:ser>
          <c:idx val="2"/>
          <c:order val="2"/>
          <c:tx>
            <c:strRef>
              <c:f>'Activity charts'!$H$3</c:f>
              <c:strCache>
                <c:ptCount val="1"/>
                <c:pt idx="0">
                  <c:v>Performance</c:v>
                </c:pt>
              </c:strCache>
            </c:strRef>
          </c:tx>
          <c:invertIfNegative val="0"/>
          <c:dLbls>
            <c:numFmt formatCode="0%" sourceLinked="0"/>
            <c:showLegendKey val="0"/>
            <c:showVal val="1"/>
            <c:showCatName val="0"/>
            <c:showSerName val="0"/>
            <c:showPercent val="0"/>
            <c:showBubbleSize val="0"/>
            <c:showLeaderLines val="0"/>
          </c:dLbls>
          <c:cat>
            <c:strRef>
              <c:f>'Activity charts'!$B$4:$B$12</c:f>
              <c:strCache>
                <c:ptCount val="9"/>
                <c:pt idx="0">
                  <c:v>Victims</c:v>
                </c:pt>
                <c:pt idx="1">
                  <c:v>Offenders</c:v>
                </c:pt>
                <c:pt idx="2">
                  <c:v>Ethnic minorities</c:v>
                </c:pt>
                <c:pt idx="3">
                  <c:v>Rural groups</c:v>
                </c:pt>
                <c:pt idx="4">
                  <c:v>Older People</c:v>
                </c:pt>
                <c:pt idx="5">
                  <c:v>Disabled people</c:v>
                </c:pt>
                <c:pt idx="6">
                  <c:v>Socially/economically deprived</c:v>
                </c:pt>
                <c:pt idx="7">
                  <c:v>Childeren or young people</c:v>
                </c:pt>
                <c:pt idx="8">
                  <c:v>No targeting </c:v>
                </c:pt>
              </c:strCache>
            </c:strRef>
          </c:cat>
          <c:val>
            <c:numRef>
              <c:f>'Activity charts'!$H$4:$H$12</c:f>
              <c:numCache>
                <c:formatCode>0.00%</c:formatCode>
                <c:ptCount val="9"/>
                <c:pt idx="0">
                  <c:v>3.3000000000000002E-2</c:v>
                </c:pt>
                <c:pt idx="1">
                  <c:v>2.3E-2</c:v>
                </c:pt>
                <c:pt idx="2">
                  <c:v>4.1000000000000002E-2</c:v>
                </c:pt>
                <c:pt idx="3">
                  <c:v>8.5000000000000006E-2</c:v>
                </c:pt>
                <c:pt idx="4">
                  <c:v>0.106</c:v>
                </c:pt>
                <c:pt idx="5">
                  <c:v>7.2999999999999995E-2</c:v>
                </c:pt>
                <c:pt idx="6">
                  <c:v>0.20200000000000001</c:v>
                </c:pt>
                <c:pt idx="7">
                  <c:v>0.309</c:v>
                </c:pt>
                <c:pt idx="8">
                  <c:v>0.56699999999999995</c:v>
                </c:pt>
              </c:numCache>
            </c:numRef>
          </c:val>
        </c:ser>
        <c:dLbls>
          <c:showLegendKey val="0"/>
          <c:showVal val="0"/>
          <c:showCatName val="0"/>
          <c:showSerName val="0"/>
          <c:showPercent val="0"/>
          <c:showBubbleSize val="0"/>
        </c:dLbls>
        <c:gapWidth val="52"/>
        <c:axId val="74903040"/>
        <c:axId val="40461440"/>
      </c:barChart>
      <c:catAx>
        <c:axId val="74903040"/>
        <c:scaling>
          <c:orientation val="minMax"/>
        </c:scaling>
        <c:delete val="0"/>
        <c:axPos val="l"/>
        <c:majorTickMark val="out"/>
        <c:minorTickMark val="none"/>
        <c:tickLblPos val="nextTo"/>
        <c:crossAx val="40461440"/>
        <c:crosses val="autoZero"/>
        <c:auto val="1"/>
        <c:lblAlgn val="ctr"/>
        <c:lblOffset val="100"/>
        <c:noMultiLvlLbl val="0"/>
      </c:catAx>
      <c:valAx>
        <c:axId val="40461440"/>
        <c:scaling>
          <c:orientation val="minMax"/>
        </c:scaling>
        <c:delete val="0"/>
        <c:axPos val="b"/>
        <c:majorGridlines/>
        <c:numFmt formatCode="0%" sourceLinked="0"/>
        <c:majorTickMark val="out"/>
        <c:minorTickMark val="none"/>
        <c:tickLblPos val="nextTo"/>
        <c:crossAx val="7490304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'Activity charts'!$C$62:$C$74</c:f>
              <c:strCache>
                <c:ptCount val="13"/>
                <c:pt idx="0">
                  <c:v>Childcare</c:v>
                </c:pt>
                <c:pt idx="1">
                  <c:v>Text in different languages</c:v>
                </c:pt>
                <c:pt idx="2">
                  <c:v>Speech-to-Text</c:v>
                </c:pt>
                <c:pt idx="3">
                  <c:v>Support worker costs</c:v>
                </c:pt>
                <c:pt idx="4">
                  <c:v>Sensory interation</c:v>
                </c:pt>
                <c:pt idx="5">
                  <c:v>Audio described</c:v>
                </c:pt>
                <c:pt idx="6">
                  <c:v>Help with transport</c:v>
                </c:pt>
                <c:pt idx="7">
                  <c:v>Text in different format</c:v>
                </c:pt>
                <c:pt idx="8">
                  <c:v>No access methods</c:v>
                </c:pt>
                <c:pt idx="9">
                  <c:v>Group targeting</c:v>
                </c:pt>
                <c:pt idx="10">
                  <c:v>Outreach</c:v>
                </c:pt>
                <c:pt idx="11">
                  <c:v>Affordability</c:v>
                </c:pt>
                <c:pt idx="12">
                  <c:v>Accessible venue</c:v>
                </c:pt>
              </c:strCache>
            </c:strRef>
          </c:cat>
          <c:val>
            <c:numRef>
              <c:f>'Activity charts'!$E$62:$E$74</c:f>
              <c:numCache>
                <c:formatCode>0.00%</c:formatCode>
                <c:ptCount val="13"/>
                <c:pt idx="0">
                  <c:v>1.0999999999999999E-2</c:v>
                </c:pt>
                <c:pt idx="1">
                  <c:v>1.9E-2</c:v>
                </c:pt>
                <c:pt idx="2">
                  <c:v>0.02</c:v>
                </c:pt>
                <c:pt idx="3">
                  <c:v>2.3E-2</c:v>
                </c:pt>
                <c:pt idx="4">
                  <c:v>3.3000000000000002E-2</c:v>
                </c:pt>
                <c:pt idx="5">
                  <c:v>5.2999999999999999E-2</c:v>
                </c:pt>
                <c:pt idx="6">
                  <c:v>6.4000000000000001E-2</c:v>
                </c:pt>
                <c:pt idx="7">
                  <c:v>9.0999999999999998E-2</c:v>
                </c:pt>
                <c:pt idx="8">
                  <c:v>0.14699999999999999</c:v>
                </c:pt>
                <c:pt idx="9">
                  <c:v>0.35599999999999998</c:v>
                </c:pt>
                <c:pt idx="10">
                  <c:v>0.39</c:v>
                </c:pt>
                <c:pt idx="11">
                  <c:v>0.624</c:v>
                </c:pt>
                <c:pt idx="12">
                  <c:v>0.69199999999999995</c:v>
                </c:pt>
              </c:numCache>
            </c:numRef>
          </c:val>
        </c:ser>
        <c:dLbls>
          <c:showLegendKey val="0"/>
          <c:showVal val="0"/>
          <c:showCatName val="0"/>
          <c:showSerName val="0"/>
          <c:showPercent val="0"/>
          <c:showBubbleSize val="0"/>
        </c:dLbls>
        <c:gapWidth val="80"/>
        <c:axId val="147623936"/>
        <c:axId val="40463168"/>
      </c:barChart>
      <c:catAx>
        <c:axId val="147623936"/>
        <c:scaling>
          <c:orientation val="minMax"/>
        </c:scaling>
        <c:delete val="0"/>
        <c:axPos val="l"/>
        <c:majorTickMark val="out"/>
        <c:minorTickMark val="none"/>
        <c:tickLblPos val="nextTo"/>
        <c:crossAx val="40463168"/>
        <c:crosses val="autoZero"/>
        <c:auto val="1"/>
        <c:lblAlgn val="ctr"/>
        <c:lblOffset val="100"/>
        <c:noMultiLvlLbl val="0"/>
      </c:catAx>
      <c:valAx>
        <c:axId val="40463168"/>
        <c:scaling>
          <c:orientation val="minMax"/>
        </c:scaling>
        <c:delete val="0"/>
        <c:axPos val="b"/>
        <c:majorGridlines/>
        <c:numFmt formatCode="0%" sourceLinked="0"/>
        <c:majorTickMark val="out"/>
        <c:minorTickMark val="none"/>
        <c:tickLblPos val="nextTo"/>
        <c:crossAx val="14762393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'Activity charts'!$E$100</c:f>
              <c:strCache>
                <c:ptCount val="1"/>
                <c:pt idx="0">
                  <c:v>Exhibition</c:v>
                </c:pt>
              </c:strCache>
            </c:strRef>
          </c:tx>
          <c:invertIfNegative val="0"/>
          <c:dLbls>
            <c:showLegendKey val="0"/>
            <c:showVal val="1"/>
            <c:showCatName val="0"/>
            <c:showSerName val="0"/>
            <c:showPercent val="0"/>
            <c:showBubbleSize val="0"/>
            <c:showLeaderLines val="0"/>
          </c:dLbls>
          <c:cat>
            <c:strRef>
              <c:f>'Activity charts'!$C$101:$C$113</c:f>
              <c:strCache>
                <c:ptCount val="13"/>
                <c:pt idx="0">
                  <c:v>Childcare</c:v>
                </c:pt>
                <c:pt idx="1">
                  <c:v>Different languages</c:v>
                </c:pt>
                <c:pt idx="2">
                  <c:v>Speech-to-text</c:v>
                </c:pt>
                <c:pt idx="3">
                  <c:v>Support worker costs</c:v>
                </c:pt>
                <c:pt idx="4">
                  <c:v>Sensory interation</c:v>
                </c:pt>
                <c:pt idx="5">
                  <c:v>Audio described</c:v>
                </c:pt>
                <c:pt idx="6">
                  <c:v>Help with transport</c:v>
                </c:pt>
                <c:pt idx="7">
                  <c:v>Different format</c:v>
                </c:pt>
                <c:pt idx="8">
                  <c:v>No access</c:v>
                </c:pt>
                <c:pt idx="9">
                  <c:v>Group targeting</c:v>
                </c:pt>
                <c:pt idx="10">
                  <c:v>Outreach</c:v>
                </c:pt>
                <c:pt idx="11">
                  <c:v>Affordability</c:v>
                </c:pt>
                <c:pt idx="12">
                  <c:v>Accessible venue</c:v>
                </c:pt>
              </c:strCache>
            </c:strRef>
          </c:cat>
          <c:val>
            <c:numRef>
              <c:f>'Activity charts'!$E$101:$E$113</c:f>
              <c:numCache>
                <c:formatCode>0%</c:formatCode>
                <c:ptCount val="13"/>
                <c:pt idx="0">
                  <c:v>8.9999999999999993E-3</c:v>
                </c:pt>
                <c:pt idx="1">
                  <c:v>4.7E-2</c:v>
                </c:pt>
                <c:pt idx="2">
                  <c:v>2.1999999999999999E-2</c:v>
                </c:pt>
                <c:pt idx="3">
                  <c:v>3.5999999999999997E-2</c:v>
                </c:pt>
                <c:pt idx="4">
                  <c:v>0.04</c:v>
                </c:pt>
                <c:pt idx="5">
                  <c:v>7.3999999999999996E-2</c:v>
                </c:pt>
                <c:pt idx="6">
                  <c:v>9.4E-2</c:v>
                </c:pt>
                <c:pt idx="7">
                  <c:v>0.126</c:v>
                </c:pt>
                <c:pt idx="8">
                  <c:v>0.124</c:v>
                </c:pt>
                <c:pt idx="9">
                  <c:v>0.35699999999999998</c:v>
                </c:pt>
                <c:pt idx="10">
                  <c:v>0.34799999999999998</c:v>
                </c:pt>
                <c:pt idx="11">
                  <c:v>0.71699999999999997</c:v>
                </c:pt>
                <c:pt idx="12">
                  <c:v>0.79600000000000004</c:v>
                </c:pt>
              </c:numCache>
            </c:numRef>
          </c:val>
        </c:ser>
        <c:ser>
          <c:idx val="1"/>
          <c:order val="1"/>
          <c:tx>
            <c:strRef>
              <c:f>'Activity charts'!$G$100</c:f>
              <c:strCache>
                <c:ptCount val="1"/>
                <c:pt idx="0">
                  <c:v>Participation</c:v>
                </c:pt>
              </c:strCache>
            </c:strRef>
          </c:tx>
          <c:invertIfNegative val="0"/>
          <c:dLbls>
            <c:showLegendKey val="0"/>
            <c:showVal val="1"/>
            <c:showCatName val="0"/>
            <c:showSerName val="0"/>
            <c:showPercent val="0"/>
            <c:showBubbleSize val="0"/>
            <c:showLeaderLines val="0"/>
          </c:dLbls>
          <c:cat>
            <c:strRef>
              <c:f>'Activity charts'!$C$101:$C$113</c:f>
              <c:strCache>
                <c:ptCount val="13"/>
                <c:pt idx="0">
                  <c:v>Childcare</c:v>
                </c:pt>
                <c:pt idx="1">
                  <c:v>Different languages</c:v>
                </c:pt>
                <c:pt idx="2">
                  <c:v>Speech-to-text</c:v>
                </c:pt>
                <c:pt idx="3">
                  <c:v>Support worker costs</c:v>
                </c:pt>
                <c:pt idx="4">
                  <c:v>Sensory interation</c:v>
                </c:pt>
                <c:pt idx="5">
                  <c:v>Audio described</c:v>
                </c:pt>
                <c:pt idx="6">
                  <c:v>Help with transport</c:v>
                </c:pt>
                <c:pt idx="7">
                  <c:v>Different format</c:v>
                </c:pt>
                <c:pt idx="8">
                  <c:v>No access</c:v>
                </c:pt>
                <c:pt idx="9">
                  <c:v>Group targeting</c:v>
                </c:pt>
                <c:pt idx="10">
                  <c:v>Outreach</c:v>
                </c:pt>
                <c:pt idx="11">
                  <c:v>Affordability</c:v>
                </c:pt>
                <c:pt idx="12">
                  <c:v>Accessible venue</c:v>
                </c:pt>
              </c:strCache>
            </c:strRef>
          </c:cat>
          <c:val>
            <c:numRef>
              <c:f>'Activity charts'!$G$101:$G$113</c:f>
              <c:numCache>
                <c:formatCode>0%</c:formatCode>
                <c:ptCount val="13"/>
                <c:pt idx="0">
                  <c:v>1.7999999999999999E-2</c:v>
                </c:pt>
                <c:pt idx="1">
                  <c:v>1.9E-2</c:v>
                </c:pt>
                <c:pt idx="2">
                  <c:v>7.0000000000000001E-3</c:v>
                </c:pt>
                <c:pt idx="3">
                  <c:v>3.4000000000000002E-2</c:v>
                </c:pt>
                <c:pt idx="4">
                  <c:v>3.1E-2</c:v>
                </c:pt>
                <c:pt idx="5">
                  <c:v>1.9E-2</c:v>
                </c:pt>
                <c:pt idx="6">
                  <c:v>9.8000000000000004E-2</c:v>
                </c:pt>
                <c:pt idx="7">
                  <c:v>2.5999999999999999E-2</c:v>
                </c:pt>
                <c:pt idx="8">
                  <c:v>0.107</c:v>
                </c:pt>
                <c:pt idx="9">
                  <c:v>0.46100000000000002</c:v>
                </c:pt>
                <c:pt idx="10">
                  <c:v>0.55800000000000005</c:v>
                </c:pt>
                <c:pt idx="11">
                  <c:v>0.622</c:v>
                </c:pt>
                <c:pt idx="12">
                  <c:v>0.66200000000000003</c:v>
                </c:pt>
              </c:numCache>
            </c:numRef>
          </c:val>
        </c:ser>
        <c:ser>
          <c:idx val="2"/>
          <c:order val="2"/>
          <c:tx>
            <c:strRef>
              <c:f>'Activity charts'!$I$100</c:f>
              <c:strCache>
                <c:ptCount val="1"/>
                <c:pt idx="0">
                  <c:v>Performance</c:v>
                </c:pt>
              </c:strCache>
            </c:strRef>
          </c:tx>
          <c:invertIfNegative val="0"/>
          <c:dLbls>
            <c:showLegendKey val="0"/>
            <c:showVal val="1"/>
            <c:showCatName val="0"/>
            <c:showSerName val="0"/>
            <c:showPercent val="0"/>
            <c:showBubbleSize val="0"/>
            <c:showLeaderLines val="0"/>
          </c:dLbls>
          <c:cat>
            <c:strRef>
              <c:f>'Activity charts'!$C$101:$C$113</c:f>
              <c:strCache>
                <c:ptCount val="13"/>
                <c:pt idx="0">
                  <c:v>Childcare</c:v>
                </c:pt>
                <c:pt idx="1">
                  <c:v>Different languages</c:v>
                </c:pt>
                <c:pt idx="2">
                  <c:v>Speech-to-text</c:v>
                </c:pt>
                <c:pt idx="3">
                  <c:v>Support worker costs</c:v>
                </c:pt>
                <c:pt idx="4">
                  <c:v>Sensory interation</c:v>
                </c:pt>
                <c:pt idx="5">
                  <c:v>Audio described</c:v>
                </c:pt>
                <c:pt idx="6">
                  <c:v>Help with transport</c:v>
                </c:pt>
                <c:pt idx="7">
                  <c:v>Different format</c:v>
                </c:pt>
                <c:pt idx="8">
                  <c:v>No access</c:v>
                </c:pt>
                <c:pt idx="9">
                  <c:v>Group targeting</c:v>
                </c:pt>
                <c:pt idx="10">
                  <c:v>Outreach</c:v>
                </c:pt>
                <c:pt idx="11">
                  <c:v>Affordability</c:v>
                </c:pt>
                <c:pt idx="12">
                  <c:v>Accessible venue</c:v>
                </c:pt>
              </c:strCache>
            </c:strRef>
          </c:cat>
          <c:val>
            <c:numRef>
              <c:f>'Activity charts'!$I$101:$I$113</c:f>
              <c:numCache>
                <c:formatCode>0%</c:formatCode>
                <c:ptCount val="13"/>
                <c:pt idx="0">
                  <c:v>2E-3</c:v>
                </c:pt>
                <c:pt idx="1">
                  <c:v>1.4999999999999999E-2</c:v>
                </c:pt>
                <c:pt idx="2">
                  <c:v>3.5000000000000003E-2</c:v>
                </c:pt>
                <c:pt idx="3">
                  <c:v>8.9999999999999993E-3</c:v>
                </c:pt>
                <c:pt idx="4">
                  <c:v>3.5000000000000003E-2</c:v>
                </c:pt>
                <c:pt idx="5">
                  <c:v>0.09</c:v>
                </c:pt>
                <c:pt idx="6">
                  <c:v>2.1000000000000001E-2</c:v>
                </c:pt>
                <c:pt idx="7">
                  <c:v>0.16200000000000001</c:v>
                </c:pt>
                <c:pt idx="8">
                  <c:v>0.19600000000000001</c:v>
                </c:pt>
                <c:pt idx="9">
                  <c:v>0.23499999999999999</c:v>
                </c:pt>
                <c:pt idx="10">
                  <c:v>0.19900000000000001</c:v>
                </c:pt>
                <c:pt idx="11">
                  <c:v>0.61699999999999999</c:v>
                </c:pt>
                <c:pt idx="12">
                  <c:v>0.71399999999999997</c:v>
                </c:pt>
              </c:numCache>
            </c:numRef>
          </c:val>
        </c:ser>
        <c:dLbls>
          <c:showLegendKey val="0"/>
          <c:showVal val="0"/>
          <c:showCatName val="0"/>
          <c:showSerName val="0"/>
          <c:showPercent val="0"/>
          <c:showBubbleSize val="0"/>
        </c:dLbls>
        <c:gapWidth val="80"/>
        <c:axId val="229504000"/>
        <c:axId val="40466048"/>
      </c:barChart>
      <c:catAx>
        <c:axId val="229504000"/>
        <c:scaling>
          <c:orientation val="minMax"/>
        </c:scaling>
        <c:delete val="0"/>
        <c:axPos val="l"/>
        <c:majorTickMark val="out"/>
        <c:minorTickMark val="none"/>
        <c:tickLblPos val="nextTo"/>
        <c:crossAx val="40466048"/>
        <c:crosses val="autoZero"/>
        <c:auto val="1"/>
        <c:lblAlgn val="ctr"/>
        <c:lblOffset val="100"/>
        <c:noMultiLvlLbl val="0"/>
      </c:catAx>
      <c:valAx>
        <c:axId val="40466048"/>
        <c:scaling>
          <c:orientation val="minMax"/>
        </c:scaling>
        <c:delete val="0"/>
        <c:axPos val="b"/>
        <c:majorGridlines/>
        <c:numFmt formatCode="0%" sourceLinked="0"/>
        <c:majorTickMark val="out"/>
        <c:minorTickMark val="none"/>
        <c:tickLblPos val="nextTo"/>
        <c:crossAx val="229504000"/>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'Activity charts'!$C$138:$C$152</c:f>
              <c:strCache>
                <c:ptCount val="15"/>
                <c:pt idx="0">
                  <c:v>Library</c:v>
                </c:pt>
                <c:pt idx="1">
                  <c:v>Leisure Centre</c:v>
                </c:pt>
                <c:pt idx="2">
                  <c:v>CHE</c:v>
                </c:pt>
                <c:pt idx="3">
                  <c:v>Museum</c:v>
                </c:pt>
                <c:pt idx="4">
                  <c:v>YouthClub</c:v>
                </c:pt>
                <c:pt idx="5">
                  <c:v>Concert Hall</c:v>
                </c:pt>
                <c:pt idx="6">
                  <c:v>Studio Space</c:v>
                </c:pt>
                <c:pt idx="7">
                  <c:v>Outdoors</c:v>
                </c:pt>
                <c:pt idx="8">
                  <c:v>Gallery</c:v>
                </c:pt>
                <c:pt idx="9">
                  <c:v>School</c:v>
                </c:pt>
                <c:pt idx="10">
                  <c:v>Community Org.</c:v>
                </c:pt>
                <c:pt idx="11">
                  <c:v>Hospital</c:v>
                </c:pt>
                <c:pt idx="12">
                  <c:v>Other Arts Venue</c:v>
                </c:pt>
                <c:pt idx="13">
                  <c:v>Theatre</c:v>
                </c:pt>
                <c:pt idx="14">
                  <c:v>Arts Centre</c:v>
                </c:pt>
              </c:strCache>
            </c:strRef>
          </c:cat>
          <c:val>
            <c:numRef>
              <c:f>'Activity charts'!$E$138:$E$152</c:f>
              <c:numCache>
                <c:formatCode>0%</c:formatCode>
                <c:ptCount val="15"/>
                <c:pt idx="0">
                  <c:v>8.0000000000000002E-3</c:v>
                </c:pt>
                <c:pt idx="1">
                  <c:v>8.9999999999999993E-3</c:v>
                </c:pt>
                <c:pt idx="2">
                  <c:v>0.01</c:v>
                </c:pt>
                <c:pt idx="3">
                  <c:v>1.9E-2</c:v>
                </c:pt>
                <c:pt idx="4">
                  <c:v>2.5999999999999999E-2</c:v>
                </c:pt>
                <c:pt idx="5">
                  <c:v>3.9E-2</c:v>
                </c:pt>
                <c:pt idx="6">
                  <c:v>6.4000000000000001E-2</c:v>
                </c:pt>
                <c:pt idx="7">
                  <c:v>6.5000000000000002E-2</c:v>
                </c:pt>
                <c:pt idx="8">
                  <c:v>8.7999999999999995E-2</c:v>
                </c:pt>
                <c:pt idx="9">
                  <c:v>9.4E-2</c:v>
                </c:pt>
                <c:pt idx="10">
                  <c:v>9.9000000000000005E-2</c:v>
                </c:pt>
                <c:pt idx="11">
                  <c:v>0.108</c:v>
                </c:pt>
                <c:pt idx="12">
                  <c:v>0.109</c:v>
                </c:pt>
                <c:pt idx="13">
                  <c:v>0.221</c:v>
                </c:pt>
                <c:pt idx="14">
                  <c:v>0.27100000000000002</c:v>
                </c:pt>
              </c:numCache>
            </c:numRef>
          </c:val>
        </c:ser>
        <c:dLbls>
          <c:showLegendKey val="0"/>
          <c:showVal val="0"/>
          <c:showCatName val="0"/>
          <c:showSerName val="0"/>
          <c:showPercent val="0"/>
          <c:showBubbleSize val="0"/>
        </c:dLbls>
        <c:gapWidth val="80"/>
        <c:axId val="229505024"/>
        <c:axId val="40466624"/>
      </c:barChart>
      <c:catAx>
        <c:axId val="229505024"/>
        <c:scaling>
          <c:orientation val="minMax"/>
        </c:scaling>
        <c:delete val="0"/>
        <c:axPos val="l"/>
        <c:majorTickMark val="out"/>
        <c:minorTickMark val="none"/>
        <c:tickLblPos val="nextTo"/>
        <c:crossAx val="40466624"/>
        <c:crosses val="autoZero"/>
        <c:auto val="1"/>
        <c:lblAlgn val="ctr"/>
        <c:lblOffset val="100"/>
        <c:noMultiLvlLbl val="0"/>
      </c:catAx>
      <c:valAx>
        <c:axId val="40466624"/>
        <c:scaling>
          <c:orientation val="minMax"/>
        </c:scaling>
        <c:delete val="0"/>
        <c:axPos val="b"/>
        <c:majorGridlines/>
        <c:numFmt formatCode="0%" sourceLinked="1"/>
        <c:majorTickMark val="out"/>
        <c:minorTickMark val="none"/>
        <c:tickLblPos val="nextTo"/>
        <c:crossAx val="229505024"/>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973979059069244E-2"/>
          <c:y val="4.0889757975430679E-2"/>
          <c:w val="0.61778703468518048"/>
          <c:h val="0.93118645059898686"/>
        </c:manualLayout>
      </c:layout>
      <c:doughnutChart>
        <c:varyColors val="1"/>
        <c:ser>
          <c:idx val="0"/>
          <c:order val="0"/>
          <c:dLbls>
            <c:txPr>
              <a:bodyPr/>
              <a:lstStyle/>
              <a:p>
                <a:pPr>
                  <a:defRPr sz="1800"/>
                </a:pPr>
                <a:endParaRPr lang="en-US"/>
              </a:p>
            </c:txPr>
            <c:showLegendKey val="0"/>
            <c:showVal val="1"/>
            <c:showCatName val="0"/>
            <c:showSerName val="0"/>
            <c:showPercent val="0"/>
            <c:showBubbleSize val="0"/>
            <c:showLeaderLines val="1"/>
          </c:dLbls>
          <c:cat>
            <c:strRef>
              <c:f>'Participation charts'!$C$43:$C$47</c:f>
              <c:strCache>
                <c:ptCount val="5"/>
                <c:pt idx="0">
                  <c:v>All Catholic</c:v>
                </c:pt>
                <c:pt idx="1">
                  <c:v>All Protestant</c:v>
                </c:pt>
                <c:pt idx="2">
                  <c:v>Mainly Catholic</c:v>
                </c:pt>
                <c:pt idx="3">
                  <c:v>Mainly Protestant</c:v>
                </c:pt>
                <c:pt idx="4">
                  <c:v>Cross Community</c:v>
                </c:pt>
              </c:strCache>
            </c:strRef>
          </c:cat>
          <c:val>
            <c:numRef>
              <c:f>'Participation charts'!$E$43:$E$47</c:f>
              <c:numCache>
                <c:formatCode>0%</c:formatCode>
                <c:ptCount val="5"/>
                <c:pt idx="0">
                  <c:v>6.1792452830188679E-2</c:v>
                </c:pt>
                <c:pt idx="1">
                  <c:v>5.4716981132075473E-2</c:v>
                </c:pt>
                <c:pt idx="2">
                  <c:v>0.14575471698113207</c:v>
                </c:pt>
                <c:pt idx="3">
                  <c:v>5.3773584905660379E-2</c:v>
                </c:pt>
                <c:pt idx="4">
                  <c:v>0.68396226415094341</c:v>
                </c:pt>
              </c:numCache>
            </c:numRef>
          </c:val>
        </c:ser>
        <c:dLbls>
          <c:showLegendKey val="0"/>
          <c:showVal val="0"/>
          <c:showCatName val="0"/>
          <c:showSerName val="0"/>
          <c:showPercent val="0"/>
          <c:showBubbleSize val="0"/>
          <c:showLeaderLines val="1"/>
        </c:dLbls>
        <c:firstSliceAng val="0"/>
        <c:holeSize val="50"/>
      </c:doughnut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'Participation charts'!$B$61</c:f>
              <c:strCache>
                <c:ptCount val="1"/>
                <c:pt idx="0">
                  <c:v>Overall</c:v>
                </c:pt>
              </c:strCache>
            </c:strRef>
          </c:tx>
          <c:invertIfNegative val="0"/>
          <c:dLbls>
            <c:showLegendKey val="0"/>
            <c:showVal val="1"/>
            <c:showCatName val="0"/>
            <c:showSerName val="0"/>
            <c:showPercent val="0"/>
            <c:showBubbleSize val="0"/>
            <c:showLeaderLines val="0"/>
          </c:dLbls>
          <c:cat>
            <c:strRef>
              <c:f>'Participation charts'!$C$53:$I$53</c:f>
              <c:strCache>
                <c:ptCount val="7"/>
                <c:pt idx="0">
                  <c:v>11 or below</c:v>
                </c:pt>
                <c:pt idx="1">
                  <c:v>12 to 16</c:v>
                </c:pt>
                <c:pt idx="2">
                  <c:v>17 to 24</c:v>
                </c:pt>
                <c:pt idx="3">
                  <c:v>25 to 39</c:v>
                </c:pt>
                <c:pt idx="4">
                  <c:v>40 to 59</c:v>
                </c:pt>
                <c:pt idx="5">
                  <c:v>60 to 79</c:v>
                </c:pt>
                <c:pt idx="6">
                  <c:v>80+</c:v>
                </c:pt>
              </c:strCache>
            </c:strRef>
          </c:cat>
          <c:val>
            <c:numRef>
              <c:f>'Participation charts'!$C$61:$I$61</c:f>
              <c:numCache>
                <c:formatCode>0%</c:formatCode>
                <c:ptCount val="7"/>
                <c:pt idx="0">
                  <c:v>0.25704184273673553</c:v>
                </c:pt>
                <c:pt idx="1">
                  <c:v>0.16660699086051461</c:v>
                </c:pt>
                <c:pt idx="2">
                  <c:v>0.13011119280190053</c:v>
                </c:pt>
                <c:pt idx="3">
                  <c:v>0.16453387669396841</c:v>
                </c:pt>
                <c:pt idx="4">
                  <c:v>0.17539531748004294</c:v>
                </c:pt>
                <c:pt idx="5">
                  <c:v>8.9497003042732698E-2</c:v>
                </c:pt>
                <c:pt idx="6">
                  <c:v>1.681656356863034E-2</c:v>
                </c:pt>
              </c:numCache>
            </c:numRef>
          </c:val>
        </c:ser>
        <c:dLbls>
          <c:showLegendKey val="0"/>
          <c:showVal val="0"/>
          <c:showCatName val="0"/>
          <c:showSerName val="0"/>
          <c:showPercent val="0"/>
          <c:showBubbleSize val="0"/>
        </c:dLbls>
        <c:gapWidth val="150"/>
        <c:axId val="147624960"/>
        <c:axId val="40478400"/>
      </c:barChart>
      <c:catAx>
        <c:axId val="147624960"/>
        <c:scaling>
          <c:orientation val="minMax"/>
        </c:scaling>
        <c:delete val="0"/>
        <c:axPos val="b"/>
        <c:title>
          <c:tx>
            <c:rich>
              <a:bodyPr/>
              <a:lstStyle/>
              <a:p>
                <a:pPr>
                  <a:defRPr/>
                </a:pPr>
                <a:r>
                  <a:rPr lang="en-GB"/>
                  <a:t>Age</a:t>
                </a:r>
                <a:r>
                  <a:rPr lang="en-GB" baseline="0"/>
                  <a:t> groups</a:t>
                </a:r>
                <a:endParaRPr lang="en-GB"/>
              </a:p>
            </c:rich>
          </c:tx>
          <c:overlay val="0"/>
        </c:title>
        <c:majorTickMark val="out"/>
        <c:minorTickMark val="none"/>
        <c:tickLblPos val="nextTo"/>
        <c:crossAx val="40478400"/>
        <c:crosses val="autoZero"/>
        <c:auto val="1"/>
        <c:lblAlgn val="ctr"/>
        <c:lblOffset val="100"/>
        <c:noMultiLvlLbl val="0"/>
      </c:catAx>
      <c:valAx>
        <c:axId val="40478400"/>
        <c:scaling>
          <c:orientation val="minMax"/>
        </c:scaling>
        <c:delete val="0"/>
        <c:axPos val="l"/>
        <c:majorGridlines/>
        <c:numFmt formatCode="0%" sourceLinked="1"/>
        <c:majorTickMark val="out"/>
        <c:minorTickMark val="none"/>
        <c:tickLblPos val="nextTo"/>
        <c:crossAx val="147624960"/>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Exhibitions!$B$6:$B$10</c:f>
              <c:strCache>
                <c:ptCount val="5"/>
                <c:pt idx="0">
                  <c:v>Combined</c:v>
                </c:pt>
                <c:pt idx="1">
                  <c:v>Visual Arts</c:v>
                </c:pt>
                <c:pt idx="2">
                  <c:v>Craft</c:v>
                </c:pt>
                <c:pt idx="3">
                  <c:v>Literature</c:v>
                </c:pt>
                <c:pt idx="4">
                  <c:v>Other</c:v>
                </c:pt>
              </c:strCache>
            </c:strRef>
          </c:cat>
          <c:val>
            <c:numRef>
              <c:f>Exhibitions!$H$6:$H$10</c:f>
              <c:numCache>
                <c:formatCode>#,##0</c:formatCode>
                <c:ptCount val="5"/>
                <c:pt idx="0">
                  <c:v>360962.3</c:v>
                </c:pt>
                <c:pt idx="1">
                  <c:v>219857.7</c:v>
                </c:pt>
                <c:pt idx="2">
                  <c:v>19271</c:v>
                </c:pt>
                <c:pt idx="3">
                  <c:v>18434</c:v>
                </c:pt>
                <c:pt idx="4">
                  <c:v>24740</c:v>
                </c:pt>
              </c:numCache>
            </c:numRef>
          </c:val>
        </c:ser>
        <c:dLbls>
          <c:showLegendKey val="0"/>
          <c:showVal val="0"/>
          <c:showCatName val="0"/>
          <c:showSerName val="0"/>
          <c:showPercent val="0"/>
          <c:showBubbleSize val="0"/>
        </c:dLbls>
        <c:gapWidth val="150"/>
        <c:axId val="147625472"/>
        <c:axId val="40480128"/>
      </c:barChart>
      <c:catAx>
        <c:axId val="147625472"/>
        <c:scaling>
          <c:orientation val="minMax"/>
        </c:scaling>
        <c:delete val="0"/>
        <c:axPos val="b"/>
        <c:title>
          <c:tx>
            <c:rich>
              <a:bodyPr/>
              <a:lstStyle/>
              <a:p>
                <a:pPr>
                  <a:defRPr/>
                </a:pPr>
                <a:r>
                  <a:rPr lang="en-US"/>
                  <a:t>Artform</a:t>
                </a:r>
              </a:p>
            </c:rich>
          </c:tx>
          <c:overlay val="0"/>
        </c:title>
        <c:majorTickMark val="out"/>
        <c:minorTickMark val="none"/>
        <c:tickLblPos val="nextTo"/>
        <c:crossAx val="40480128"/>
        <c:crosses val="autoZero"/>
        <c:auto val="1"/>
        <c:lblAlgn val="ctr"/>
        <c:lblOffset val="100"/>
        <c:noMultiLvlLbl val="0"/>
      </c:catAx>
      <c:valAx>
        <c:axId val="40480128"/>
        <c:scaling>
          <c:orientation val="minMax"/>
        </c:scaling>
        <c:delete val="0"/>
        <c:axPos val="l"/>
        <c:majorGridlines/>
        <c:title>
          <c:tx>
            <c:rich>
              <a:bodyPr rot="-5400000" vert="horz"/>
              <a:lstStyle/>
              <a:p>
                <a:pPr>
                  <a:defRPr/>
                </a:pPr>
                <a:r>
                  <a:rPr lang="en-GB"/>
                  <a:t>Audience</a:t>
                </a:r>
                <a:r>
                  <a:rPr lang="en-GB" baseline="0"/>
                  <a:t>s</a:t>
                </a:r>
              </a:p>
            </c:rich>
          </c:tx>
          <c:overlay val="0"/>
        </c:title>
        <c:numFmt formatCode="#,##0" sourceLinked="1"/>
        <c:majorTickMark val="out"/>
        <c:minorTickMark val="none"/>
        <c:tickLblPos val="nextTo"/>
        <c:crossAx val="147625472"/>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Sheet1!$D$9</c:f>
              <c:strCache>
                <c:ptCount val="1"/>
                <c:pt idx="0">
                  <c:v>Most deprived</c:v>
                </c:pt>
              </c:strCache>
            </c:strRef>
          </c:tx>
          <c:invertIfNegative val="0"/>
          <c:dLbls>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Sheet1!$D$10:$D$13</c:f>
              <c:numCache>
                <c:formatCode>0%</c:formatCode>
                <c:ptCount val="4"/>
                <c:pt idx="0">
                  <c:v>0.748</c:v>
                </c:pt>
                <c:pt idx="1">
                  <c:v>0.40500000000000003</c:v>
                </c:pt>
                <c:pt idx="2">
                  <c:v>0.58899999999999997</c:v>
                </c:pt>
                <c:pt idx="3">
                  <c:v>0.5</c:v>
                </c:pt>
              </c:numCache>
            </c:numRef>
          </c:val>
        </c:ser>
        <c:ser>
          <c:idx val="1"/>
          <c:order val="1"/>
          <c:tx>
            <c:strRef>
              <c:f>Sheet1!$E$9</c:f>
              <c:strCache>
                <c:ptCount val="1"/>
                <c:pt idx="0">
                  <c:v>2</c:v>
                </c:pt>
              </c:strCache>
            </c:strRef>
          </c:tx>
          <c:invertIfNegative val="0"/>
          <c:dLbls>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Sheet1!$E$10:$E$13</c:f>
              <c:numCache>
                <c:formatCode>0%</c:formatCode>
                <c:ptCount val="4"/>
                <c:pt idx="0">
                  <c:v>2.9000000000000001E-2</c:v>
                </c:pt>
                <c:pt idx="1">
                  <c:v>5.2999999999999999E-2</c:v>
                </c:pt>
                <c:pt idx="2">
                  <c:v>4.4999999999999998E-2</c:v>
                </c:pt>
                <c:pt idx="3">
                  <c:v>4.9000000000000002E-2</c:v>
                </c:pt>
              </c:numCache>
            </c:numRef>
          </c:val>
        </c:ser>
        <c:ser>
          <c:idx val="2"/>
          <c:order val="2"/>
          <c:tx>
            <c:strRef>
              <c:f>Sheet1!$F$9</c:f>
              <c:strCache>
                <c:ptCount val="1"/>
                <c:pt idx="0">
                  <c:v>3</c:v>
                </c:pt>
              </c:strCache>
            </c:strRef>
          </c:tx>
          <c:invertIfNegative val="0"/>
          <c:dLbls>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Sheet1!$F$10:$F$13</c:f>
              <c:numCache>
                <c:formatCode>0%</c:formatCode>
                <c:ptCount val="4"/>
                <c:pt idx="0">
                  <c:v>5.8999999999999997E-2</c:v>
                </c:pt>
                <c:pt idx="1">
                  <c:v>6.0999999999999999E-2</c:v>
                </c:pt>
                <c:pt idx="2">
                  <c:v>4.5999999999999999E-2</c:v>
                </c:pt>
                <c:pt idx="3">
                  <c:v>5.3999999999999999E-2</c:v>
                </c:pt>
              </c:numCache>
            </c:numRef>
          </c:val>
        </c:ser>
        <c:ser>
          <c:idx val="3"/>
          <c:order val="3"/>
          <c:tx>
            <c:strRef>
              <c:f>Sheet1!$G$9</c:f>
              <c:strCache>
                <c:ptCount val="1"/>
                <c:pt idx="0">
                  <c:v>4</c:v>
                </c:pt>
              </c:strCache>
            </c:strRef>
          </c:tx>
          <c:invertIfNegative val="0"/>
          <c:dLbls>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Sheet1!$G$10:$G$13</c:f>
              <c:numCache>
                <c:formatCode>0%</c:formatCode>
                <c:ptCount val="4"/>
                <c:pt idx="0">
                  <c:v>3.5000000000000003E-2</c:v>
                </c:pt>
                <c:pt idx="1">
                  <c:v>7.3999999999999996E-2</c:v>
                </c:pt>
                <c:pt idx="2">
                  <c:v>3.5000000000000003E-2</c:v>
                </c:pt>
                <c:pt idx="3">
                  <c:v>5.5E-2</c:v>
                </c:pt>
              </c:numCache>
            </c:numRef>
          </c:val>
        </c:ser>
        <c:ser>
          <c:idx val="4"/>
          <c:order val="4"/>
          <c:tx>
            <c:strRef>
              <c:f>Sheet1!$H$9</c:f>
              <c:strCache>
                <c:ptCount val="1"/>
                <c:pt idx="0">
                  <c:v>5</c:v>
                </c:pt>
              </c:strCache>
            </c:strRef>
          </c:tx>
          <c:invertIfNegative val="0"/>
          <c:cat>
            <c:strRef>
              <c:f>Sheet1!$C$10:$C$13</c:f>
              <c:strCache>
                <c:ptCount val="4"/>
                <c:pt idx="0">
                  <c:v>exhibition</c:v>
                </c:pt>
                <c:pt idx="1">
                  <c:v>participation</c:v>
                </c:pt>
                <c:pt idx="2">
                  <c:v>performance</c:v>
                </c:pt>
                <c:pt idx="3">
                  <c:v>Overall</c:v>
                </c:pt>
              </c:strCache>
            </c:strRef>
          </c:cat>
          <c:val>
            <c:numRef>
              <c:f>Sheet1!$H$10:$H$13</c:f>
              <c:numCache>
                <c:formatCode>0%</c:formatCode>
                <c:ptCount val="4"/>
                <c:pt idx="0">
                  <c:v>0</c:v>
                </c:pt>
                <c:pt idx="1">
                  <c:v>3.1E-2</c:v>
                </c:pt>
                <c:pt idx="2">
                  <c:v>1.9E-2</c:v>
                </c:pt>
                <c:pt idx="3">
                  <c:v>2.5000000000000001E-2</c:v>
                </c:pt>
              </c:numCache>
            </c:numRef>
          </c:val>
        </c:ser>
        <c:ser>
          <c:idx val="5"/>
          <c:order val="5"/>
          <c:tx>
            <c:strRef>
              <c:f>Sheet1!$I$9</c:f>
              <c:strCache>
                <c:ptCount val="1"/>
                <c:pt idx="0">
                  <c:v>6</c:v>
                </c:pt>
              </c:strCache>
            </c:strRef>
          </c:tx>
          <c:invertIfNegative val="0"/>
          <c:dLbls>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Sheet1!$I$10:$I$13</c:f>
              <c:numCache>
                <c:formatCode>0%</c:formatCode>
                <c:ptCount val="4"/>
                <c:pt idx="0">
                  <c:v>7.4999999999999997E-2</c:v>
                </c:pt>
                <c:pt idx="1">
                  <c:v>0.14599999999999999</c:v>
                </c:pt>
                <c:pt idx="2">
                  <c:v>6.6000000000000003E-2</c:v>
                </c:pt>
                <c:pt idx="3">
                  <c:v>0.109</c:v>
                </c:pt>
              </c:numCache>
            </c:numRef>
          </c:val>
        </c:ser>
        <c:ser>
          <c:idx val="6"/>
          <c:order val="6"/>
          <c:tx>
            <c:strRef>
              <c:f>Sheet1!$J$9</c:f>
              <c:strCache>
                <c:ptCount val="1"/>
                <c:pt idx="0">
                  <c:v>7</c:v>
                </c:pt>
              </c:strCache>
            </c:strRef>
          </c:tx>
          <c:invertIfNegative val="0"/>
          <c:dLbls>
            <c:dLbl>
              <c:idx val="2"/>
              <c:delete val="1"/>
            </c:dLbl>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Sheet1!$J$10:$J$13</c:f>
              <c:numCache>
                <c:formatCode>0%</c:formatCode>
                <c:ptCount val="4"/>
                <c:pt idx="0">
                  <c:v>1.9E-2</c:v>
                </c:pt>
                <c:pt idx="1">
                  <c:v>4.7E-2</c:v>
                </c:pt>
                <c:pt idx="2">
                  <c:v>1.2999999999999999E-2</c:v>
                </c:pt>
                <c:pt idx="3">
                  <c:v>3.1E-2</c:v>
                </c:pt>
              </c:numCache>
            </c:numRef>
          </c:val>
        </c:ser>
        <c:ser>
          <c:idx val="7"/>
          <c:order val="7"/>
          <c:tx>
            <c:strRef>
              <c:f>Sheet1!$K$9</c:f>
              <c:strCache>
                <c:ptCount val="1"/>
                <c:pt idx="0">
                  <c:v>8</c:v>
                </c:pt>
              </c:strCache>
            </c:strRef>
          </c:tx>
          <c:invertIfNegative val="0"/>
          <c:dLbls>
            <c:dLbl>
              <c:idx val="1"/>
              <c:showLegendKey val="0"/>
              <c:showVal val="1"/>
              <c:showCatName val="0"/>
              <c:showSerName val="0"/>
              <c:showPercent val="0"/>
              <c:showBubbleSize val="0"/>
            </c:dLbl>
            <c:dLbl>
              <c:idx val="3"/>
              <c:showLegendKey val="0"/>
              <c:showVal val="1"/>
              <c:showCatName val="0"/>
              <c:showSerName val="0"/>
              <c:showPercent val="0"/>
              <c:showBubbleSize val="0"/>
            </c:dLbl>
            <c:showLegendKey val="0"/>
            <c:showVal val="0"/>
            <c:showCatName val="0"/>
            <c:showSerName val="0"/>
            <c:showPercent val="0"/>
            <c:showBubbleSize val="0"/>
          </c:dLbls>
          <c:cat>
            <c:strRef>
              <c:f>Sheet1!$C$10:$C$13</c:f>
              <c:strCache>
                <c:ptCount val="4"/>
                <c:pt idx="0">
                  <c:v>exhibition</c:v>
                </c:pt>
                <c:pt idx="1">
                  <c:v>participation</c:v>
                </c:pt>
                <c:pt idx="2">
                  <c:v>performance</c:v>
                </c:pt>
                <c:pt idx="3">
                  <c:v>Overall</c:v>
                </c:pt>
              </c:strCache>
            </c:strRef>
          </c:cat>
          <c:val>
            <c:numRef>
              <c:f>Sheet1!$K$10:$K$13</c:f>
              <c:numCache>
                <c:formatCode>0%</c:formatCode>
                <c:ptCount val="4"/>
                <c:pt idx="0">
                  <c:v>8.0000000000000002E-3</c:v>
                </c:pt>
                <c:pt idx="1">
                  <c:v>6.5000000000000002E-2</c:v>
                </c:pt>
                <c:pt idx="2">
                  <c:v>1.2999999999999999E-2</c:v>
                </c:pt>
                <c:pt idx="3">
                  <c:v>0.04</c:v>
                </c:pt>
              </c:numCache>
            </c:numRef>
          </c:val>
        </c:ser>
        <c:ser>
          <c:idx val="8"/>
          <c:order val="8"/>
          <c:tx>
            <c:strRef>
              <c:f>Sheet1!$L$9</c:f>
              <c:strCache>
                <c:ptCount val="1"/>
                <c:pt idx="0">
                  <c:v>9</c:v>
                </c:pt>
              </c:strCache>
            </c:strRef>
          </c:tx>
          <c:invertIfNegative val="0"/>
          <c:dLbls>
            <c:dLbl>
              <c:idx val="0"/>
              <c:delete val="1"/>
            </c:dLbl>
            <c:dLbl>
              <c:idx val="2"/>
              <c:delete val="1"/>
            </c:dLbl>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Sheet1!$L$10:$L$13</c:f>
              <c:numCache>
                <c:formatCode>0%</c:formatCode>
                <c:ptCount val="4"/>
                <c:pt idx="0">
                  <c:v>2.1000000000000001E-2</c:v>
                </c:pt>
                <c:pt idx="1">
                  <c:v>6.2E-2</c:v>
                </c:pt>
                <c:pt idx="2">
                  <c:v>8.9999999999999993E-3</c:v>
                </c:pt>
                <c:pt idx="3">
                  <c:v>3.6999999999999998E-2</c:v>
                </c:pt>
              </c:numCache>
            </c:numRef>
          </c:val>
        </c:ser>
        <c:ser>
          <c:idx val="9"/>
          <c:order val="9"/>
          <c:tx>
            <c:strRef>
              <c:f>Sheet1!$M$9</c:f>
              <c:strCache>
                <c:ptCount val="1"/>
                <c:pt idx="0">
                  <c:v>Least deprived</c:v>
                </c:pt>
              </c:strCache>
            </c:strRef>
          </c:tx>
          <c:invertIfNegative val="0"/>
          <c:dLbls>
            <c:dLbl>
              <c:idx val="0"/>
              <c:delete val="1"/>
            </c:dLbl>
            <c:showLegendKey val="0"/>
            <c:showVal val="1"/>
            <c:showCatName val="0"/>
            <c:showSerName val="0"/>
            <c:showPercent val="0"/>
            <c:showBubbleSize val="0"/>
            <c:showLeaderLines val="0"/>
          </c:dLbls>
          <c:cat>
            <c:strRef>
              <c:f>Sheet1!$C$10:$C$13</c:f>
              <c:strCache>
                <c:ptCount val="4"/>
                <c:pt idx="0">
                  <c:v>exhibition</c:v>
                </c:pt>
                <c:pt idx="1">
                  <c:v>participation</c:v>
                </c:pt>
                <c:pt idx="2">
                  <c:v>performance</c:v>
                </c:pt>
                <c:pt idx="3">
                  <c:v>Overall</c:v>
                </c:pt>
              </c:strCache>
            </c:strRef>
          </c:cat>
          <c:val>
            <c:numRef>
              <c:f>Sheet1!$M$10:$M$13</c:f>
              <c:numCache>
                <c:formatCode>0%</c:formatCode>
                <c:ptCount val="4"/>
                <c:pt idx="0">
                  <c:v>5.0000000000000001E-3</c:v>
                </c:pt>
                <c:pt idx="1">
                  <c:v>5.5E-2</c:v>
                </c:pt>
                <c:pt idx="2">
                  <c:v>0.16400000000000001</c:v>
                </c:pt>
                <c:pt idx="3">
                  <c:v>0.1</c:v>
                </c:pt>
              </c:numCache>
            </c:numRef>
          </c:val>
        </c:ser>
        <c:dLbls>
          <c:showLegendKey val="0"/>
          <c:showVal val="0"/>
          <c:showCatName val="0"/>
          <c:showSerName val="0"/>
          <c:showPercent val="0"/>
          <c:showBubbleSize val="0"/>
        </c:dLbls>
        <c:gapWidth val="75"/>
        <c:overlap val="100"/>
        <c:axId val="235844608"/>
        <c:axId val="40483008"/>
      </c:barChart>
      <c:catAx>
        <c:axId val="235844608"/>
        <c:scaling>
          <c:orientation val="minMax"/>
        </c:scaling>
        <c:delete val="0"/>
        <c:axPos val="l"/>
        <c:numFmt formatCode="General" sourceLinked="1"/>
        <c:majorTickMark val="none"/>
        <c:minorTickMark val="none"/>
        <c:tickLblPos val="nextTo"/>
        <c:crossAx val="40483008"/>
        <c:crosses val="autoZero"/>
        <c:auto val="1"/>
        <c:lblAlgn val="ctr"/>
        <c:lblOffset val="100"/>
        <c:noMultiLvlLbl val="0"/>
      </c:catAx>
      <c:valAx>
        <c:axId val="40483008"/>
        <c:scaling>
          <c:orientation val="minMax"/>
        </c:scaling>
        <c:delete val="1"/>
        <c:axPos val="b"/>
        <c:majorGridlines/>
        <c:numFmt formatCode="0%" sourceLinked="1"/>
        <c:majorTickMark val="none"/>
        <c:minorTickMark val="none"/>
        <c:tickLblPos val="nextTo"/>
        <c:crossAx val="235844608"/>
        <c:crosses val="autoZero"/>
        <c:crossBetween val="between"/>
      </c:valAx>
    </c:plotArea>
    <c:legend>
      <c:legendPos val="r"/>
      <c:layout>
        <c:manualLayout>
          <c:xMode val="edge"/>
          <c:yMode val="edge"/>
          <c:x val="0.81478638848150042"/>
          <c:y val="8.5992825051027871E-2"/>
          <c:w val="0.17174106183847263"/>
          <c:h val="0.9140071749489721"/>
        </c:manualLayout>
      </c:layout>
      <c:overlay val="0"/>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802641336499604E-2"/>
          <c:y val="3.3347914843977838E-2"/>
          <c:w val="0.84902753822438859"/>
          <c:h val="0.92862386993292501"/>
        </c:manualLayout>
      </c:layout>
      <c:doughnutChart>
        <c:varyColors val="1"/>
        <c:ser>
          <c:idx val="0"/>
          <c:order val="0"/>
          <c:dLbls>
            <c:txPr>
              <a:bodyPr/>
              <a:lstStyle/>
              <a:p>
                <a:pPr>
                  <a:defRPr sz="1800"/>
                </a:pPr>
                <a:endParaRPr lang="en-US"/>
              </a:p>
            </c:txPr>
            <c:showLegendKey val="0"/>
            <c:showVal val="1"/>
            <c:showCatName val="0"/>
            <c:showSerName val="0"/>
            <c:showPercent val="0"/>
            <c:showBubbleSize val="0"/>
            <c:showLeaderLines val="1"/>
          </c:dLbls>
          <c:cat>
            <c:strRef>
              <c:f>Sheet1!$B$48:$B$49</c:f>
              <c:strCache>
                <c:ptCount val="2"/>
                <c:pt idx="0">
                  <c:v>Inside NRA's</c:v>
                </c:pt>
                <c:pt idx="1">
                  <c:v>Outside NRA's</c:v>
                </c:pt>
              </c:strCache>
            </c:strRef>
          </c:cat>
          <c:val>
            <c:numRef>
              <c:f>Sheet1!$C$48:$C$49</c:f>
              <c:numCache>
                <c:formatCode>0%</c:formatCode>
                <c:ptCount val="2"/>
                <c:pt idx="0">
                  <c:v>0.53</c:v>
                </c:pt>
                <c:pt idx="1">
                  <c:v>0.47</c:v>
                </c:pt>
              </c:numCache>
            </c:numRef>
          </c:val>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35799691705203518"/>
          <c:y val="0.40239391951006126"/>
          <c:w val="0.31614714827313251"/>
          <c:h val="0.16743438320209975"/>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D1AEE-C870-44F3-AE23-36BB7CD07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5974</Words>
  <Characters>34054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gstevenson</dc:creator>
  <cp:lastModifiedBy>Donal Monaghan</cp:lastModifiedBy>
  <cp:revision>2</cp:revision>
  <cp:lastPrinted>2015-02-19T12:02:00Z</cp:lastPrinted>
  <dcterms:created xsi:type="dcterms:W3CDTF">2015-02-19T12:04:00Z</dcterms:created>
  <dcterms:modified xsi:type="dcterms:W3CDTF">2015-02-19T12:04:00Z</dcterms:modified>
</cp:coreProperties>
</file>